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313/2017 vom 4. August 2017</w:t>
      </w:r>
    </w:p>
    <w:p>
      <w:r>
        <w:t>Bundesgericht, 2017-08-04, DE</w:t>
      </w:r>
    </w:p>
    <w:p>
      <w:r>
        <w:rPr>
          <w:b/>
        </w:rPr>
        <w:t xml:space="preserve">Quelle: </w:t>
      </w:r>
      <w:r>
        <w:t>https://mcp.opencaselaw.ch/entscheid/bger_8C_313_2017</w:t>
      </w:r>
    </w:p>
    <w:p>
      <w:r>
        <w:t>FR: TF 8C 313/2017 du 4 août 2017</w:t>
      </w:r>
    </w:p>
    <w:p>
      <w:r>
        <w:t>IT: TF 8C 313/2017 del 4 agosto 2017</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die Rentenaufhebung der Unfallversicherung auf den 31. Januar 2016 hin bestätigt hat.</w:t>
      </w:r>
    </w:p>
    <w:p>
      <w:r>
        <w:rPr>
          <w:b/>
        </w:rPr>
        <w:t>E. 3.1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3.2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erwogen, im Gutachten der MEDAS Zentralschweiz vom 29. Juli 2004 hätten die medizinischen Experten festgehalten, aus neurologischer, neuropsychologischer und rheumatologischer Sicht sei noch eine Besserung des Gesundheitszustandes zu erwarten. Da die Medexperts-Gutachter im aktuellen polydisziplinären Gutachten der Beschwerdeführerin aufgrund umfassender Prüfung aller beteiligten Fachrichtungen eine volle Arbeitsfähigkeit in jeglicher Tätigkeit attestierten, sei ein Revisionsgrund im Sinne von Art. 17 Abs. 1 ATSG hinreichend nachgewiesen.</w:t>
      </w:r>
    </w:p>
    <w:p>
      <w:r>
        <w:rPr>
          <w:b/>
        </w:rPr>
        <w:t>E. 4.2</w:t>
      </w:r>
    </w:p>
    <w:p>
      <w:r>
        <w:t>Wie die Beschwerdeführerin zutreffend geltend macht, wird in der dargelegten vorinstanzlichen Argumentation ein Doppeltes übersehen: Zum einen rechneten die Gutachter im Jahre 2004 mit einer Besserung der Beschwerden bis Mitte 2005; die Rentenzusprache im Oktober 2006 erfolgte offenkundig auch auf der Einschätzung des behandelnden Rheumatologen, Dr. med. C.________, vom 2. Juli 2005, wonach diese Besserung nicht eingetreten und nunmehr auch nicht mehr zu erwarten sei. Zum andern verhält es sich nicht so, dass die Medexperts-Gutachter nicht zur Frage einer Veränderung des Gesundheitszustandes Stellung genommen hätten. Vielmehr hielten diese ausdrücklich fest, seit der Begutachtung durch die MEDAS Zentralschweiz habe sich bezüglich der Beschwerdesymptomatik und des Befundes keine wesentliche Änderung eingestellt. In solchen Fällen kann die vom kantonalen Gericht angeführte Praxis, wonach es zur Bestätigung einer prognostizierten Verbesserung des Gesundheitszustandes ausreicht, wenn nunmehr ein beweistaugliches Gutachten mit unmissverständlich attestierter Arbeitsfähigkeit vorliegt (Urteile 9C_459/2014 vom 28. Oktober 2014 E. 3.3 und 8C_959/2012 vom 3. April 2013 E. 2.3 mit Hinweis), keine Geltung haben. Die erwähnte Rechtsprechung bezieht sich nur auf Fälle, in denen sich das neue Gutachten nicht ausdrücklich zur Frage einer Verbesserung äussert, nicht jedoch auf solche Gutachten, in denen wie hier eine Verbesserung explizit verneint wird. Im vorliegenden Fall stellt die Neubegutachtung somit - und dies wird von den Experten implizit selber eingeräumt - bloss eine abweichende Beurteilung eines im Wesentlichen gleich gebliebenen Sachverhaltes dar. Ist keine revisionsrechtlich relevante Sachverhaltsänderung nachgewiesen, so entfällt die Möglichkeit einer Revision nach Art. 17 Abs. 1 ATSG . Anzumerken bleibt, dass aufgrund der dargelegten damaligen Aktenlage auch die Annahme, bei Erlass der rentenzusprechenden Verfügung im Oktober 2006 sei von einer Fortsetzung der medizinischen Behandlung keine namhafte Besserung des Gesundheitszustandes mehr zu erwarten gewesen, jedenfalls nicht als zweifellos unrichtig erscheint.</w:t>
      </w:r>
    </w:p>
    <w:p>
      <w:r>
        <w:rPr>
          <w:b/>
        </w:rPr>
        <w:t>E. 4.3</w:t>
      </w:r>
    </w:p>
    <w:p>
      <w:r>
        <w:t>Fehlt es demnach an einem Revisionsgrund im Sinne von Art. 17 Abs. 1 ATSG , hat die Beschwerdegegnerin ihre Rentenleistungen weiterhin zu erbringen. Die Beschwerde der Versicherten ist demnach gutzuheissen und der Einsprache- und der kantonale Gerichtsentscheid sind ersatzlos aufzuheben.</w:t>
      </w:r>
    </w:p>
    <w:p>
      <w:r>
        <w:rPr>
          <w:b/>
        </w:rPr>
        <w:t>E. 5</w:t>
      </w:r>
    </w:p>
    <w:p>
      <w:r>
        <w:t>Das Verfahren ist kostenpflichtig ( Art. 65 Abs. 1 BGG ). Die Gerichtskosten werden der Beschwerdegegnerin als unterliegender Partei auferlegt ( Art. 66 Abs. 1 BGG ). Sie hat der Beschwerdeführerin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