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8C_313/2015 vom 20. Oktober 2015</w:t>
      </w:r>
    </w:p>
    <w:p>
      <w:r>
        <w:t>Bundesgericht, 2015-10-20, DE</w:t>
      </w:r>
    </w:p>
    <w:p>
      <w:r>
        <w:rPr>
          <w:b/>
        </w:rPr>
        <w:t xml:space="preserve">Quelle: </w:t>
      </w:r>
      <w:r>
        <w:t>https://mcp.opencaselaw.ch/entscheid/bger_8C_313_2015</w:t>
      </w:r>
    </w:p>
    <w:p>
      <w:r>
        <w:t>FR: TF 8C_313/2015 du 20 octobre 2015</w:t>
      </w:r>
    </w:p>
    <w:p>
      <w:r>
        <w:t>IT: TF 8C_313/2015 del 20 ottobre 2015</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und - im Rahmen der dargelegten Kognition - zu prüfen ist, ob das kantonale Gericht mit der Verneinung des Anspruchs auf eine Invalidenrente Bundesrecht verletzt hat.</w:t>
      </w:r>
    </w:p>
    <w:p>
      <w:r>
        <w:t>Die massgebenden Rechtsgrundlagen sind im Entscheid des Sozialversicherungsgerichts des Kantons Basel-Stadt vom 17. März 2015 zutreffend dargelegt worden. Darauf wird verwiesen.</w:t>
      </w:r>
    </w:p>
    <w:p>
      <w:r>
        <w:rPr>
          <w:b/>
        </w:rPr>
        <w:t>E. 3.1</w:t>
      </w:r>
    </w:p>
    <w:p>
      <w:r>
        <w:t>In Würdigung der medizinischen Aktenlage hat die Vorinstanz festgestellt, der Beschwerdeführer verfüge unter Berücksichtigung der diagnostizierten rezidivierenden depressiven Störung, gegenwärtig leichtgradige Episode, seit Januar 2012 sowohl in der bisherigen Tätigkeit als Geschäftsführer eines Reisebüros wie auch in einer Alternativtätigkeit über eine 80%ige Restarbeitsfähigkeit. Das kantonale Gericht stützte sich dabei im Wesentlichen auf das Gutachten des Dr. med. D.________ vom 17. September 2013 und auf den Bericht des Dr. med. C.________ vom 7. November 2011. Bezüglich Invaliditätsbemessung bestätigte es den von der IV-Stelle durchgeführten Einkommensvergleich und hielt fest, bei einer 80%igen Restarbeitsfähigkeit seit Januar 2012 ergebe sich per 1. März 2012 als Zeitpunkt des frühest möglichen Rentenbeginns kein rentenbegründender Invaliditätsgrad, weshalb ein Rentenanspruch zu Recht verneint worden sei.</w:t>
      </w:r>
    </w:p>
    <w:p>
      <w:r>
        <w:rPr>
          <w:b/>
        </w:rPr>
        <w:t>E. 3.2</w:t>
      </w:r>
    </w:p>
    <w:p>
      <w:r>
        <w:t>Die für das Bundesgericht grundsätzlich verbindlichen tatsächlichen Feststellungen der Vorinstanz zum Gesundheitszustand und zur Arbeitsfähigkeit werden vom Beschwerdeführer nicht bestritten. Eine im Sinne von Art. 97 Abs. 1 BGG offensichtlich unrichtige Feststellung des rechtserheblichen Sachverhalts, die einer Korrektur durch das Bundesgericht zugänglich wäre, ist nicht ersichtlich. Es ist daher von einer 80%igen Arbeitsfähigkeit des Versicherten in seiner angestammten Tätigkeit seit Januar 2012 auszugehen.</w:t>
      </w:r>
    </w:p>
    <w:p>
      <w:r>
        <w:rPr>
          <w:b/>
        </w:rPr>
        <w:t>E. 3.3</w:t>
      </w:r>
    </w:p>
    <w:p>
      <w:r>
        <w:t>Der Beschwerdeführer rügt die anhand eines Einkommensvergleichs vorgenommene Invaliditätsbemessung und macht im Wesentlichen geltend, der Invaliditätsgrad sei anhand eines korrekt durchgeführten Betätigungsvergleichs zu ermitteln. Dabei übersieht er, dass bei bloss 20%iger Arbeitsunfähigkeit in der angestammten Tätigkeit auch ein Betätigungsvergleich nicht einen rentenbegründenden Invaliditätsgrad von mindestens 40 % zu ergeben vermag. Der Betätigungsvergleich im Abklärungsbericht Selbstständigerwerbende vom 31. Oktober 2012, in welchem entgegen der Auffassung des Beschwerdeführers eine Gewichtung der einzelnen Bereiche stattgefunden hat, zeigte auf, dass die Einschränkungen selbst bei einer 50%igen Arbeitsunfähigkeit in den meisten anfallenden Tätigkeiten dem Grad der Arbeitsunfähigkeit entsprachen und lediglich bei der Reisetätigkeit, welche 12 % des Tätigkeitsvolumens ausmacht, eine grössere Einschränkung von 75 % vorlag. Selbst wenn man zugunsten des Beschwerdeführers davon ausginge, dass sich auch die bloss 20%ige Arbeitsunfähigkeit in der Reisetätigkeit überproportional mit einer Einschränkung von 75 % auswirken würde und nach wie vor für die mit 12 % gewichtete Reisetätigkeit eine "Arbeitsfähigkeit mit Invalidität" von 3 % annähme, ergäbe sich zusammen mit den zu 88 % gewichteten und zu 20 % eingeschränkten übrigen Tatigkeitsbereichen eine "Arbeitsfähigkeit mit Invalidität" von höchstens 73,4 % (88 % : 5 x 4 = 70,4 % + 3 %) und somit ein rentenausschliessender Invaliditätsgrad von höchstens 26,6 %.</w:t>
      </w:r>
    </w:p>
    <w:p>
      <w:r>
        <w:rPr>
          <w:b/>
        </w:rPr>
        <w:t>E. 3.4</w:t>
      </w:r>
    </w:p>
    <w:p>
      <w:r>
        <w:t>Zusammenfassend hat es somit beim angefochtenen Entscheid sein Bewenden.</w:t>
      </w:r>
    </w:p>
    <w:p>
      <w:r>
        <w:rPr>
          <w:b/>
        </w:rPr>
        <w:t>E. 4</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