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8C_311/2019 vom 21. Mai 2019</w:t>
      </w:r>
    </w:p>
    <w:p>
      <w:r>
        <w:t>Bundesgericht, 2019-05-21, DE</w:t>
      </w:r>
    </w:p>
    <w:p>
      <w:r>
        <w:rPr>
          <w:b/>
        </w:rPr>
        <w:t xml:space="preserve">Quelle: </w:t>
      </w:r>
      <w:r>
        <w:t>https://mcp.opencaselaw.ch/entscheid/bger_8C_311_2019</w:t>
      </w:r>
    </w:p>
    <w:p>
      <w:r>
        <w:t>FR: TF 8C_311/2019 du 21 mai 2019</w:t>
      </w:r>
    </w:p>
    <w:p>
      <w:r>
        <w:t>IT: TF 8C_311/2019 del 21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8C_311/2019</w:t>
      </w:r>
    </w:p>
    <w:p>
      <w:r>
        <w:t>Urteil vom 21. Mai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Einwohnergemeinde Nidau,</w:t>
      </w:r>
    </w:p>
    <w:p>
      <w:r>
        <w:t>Soziale Dienste,</w:t>
      </w:r>
    </w:p>
    <w:p>
      <w:r>
        <w:t>Schulgasse 2, 2560 Nidau,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</w:t>
      </w:r>
    </w:p>
    <w:p>
      <w:r>
        <w:t>des Verwaltungsgerichts des Kantons Bern</w:t>
      </w:r>
    </w:p>
    <w:p>
      <w:r>
        <w:t>vom 19. Februar 2019 (100.2018.292U).</w:t>
      </w:r>
    </w:p>
    <w:p>
      <w:r>
        <w:t>Nach Einsicht</w:t>
      </w:r>
    </w:p>
    <w:p>
      <w:r>
        <w:t>in die am 14. Mai 2019 ergänzte Beschwerde vom 3. April 2019 (jeweils Poststempel) gegen den gemäss postamtlicher Bescheinigung am 26. Februar 2019 an A.________ ausgehändigten Entscheid des Verwaltungsgerichts des Kantons Bern vom 19. Februar 2019,</w:t>
      </w:r>
    </w:p>
    <w:p>
      <w:r>
        <w:t>in Erwägung,</w:t>
      </w:r>
    </w:p>
    <w:p>
      <w:r>
        <w:t>dass die Beschwerde nicht innert der nach Art. 100 Abs. 1 BGG 30-tägigen, gemäss Art. 44-48 BGG am 28. März 2019 abgelaufenen Rechtsmittelfrist eingereicht worden ist,</w:t>
      </w:r>
    </w:p>
    <w:p>
      <w:r>
        <w:t>dass die Eingaben ebenso wenig den qualifizierten Begründungsanforderungen an eine in Sozialhilfesachen geführten Beschwerde genügen, wonach - da die Anwendung kantonalen Rechts im Streit steht - anhand der massgeblichen Erwägungen des angefochtenen Entscheids klar und detailliert darzulegen ist, welche verfassungsmässigen Rechte und inwiefern sie durch diesen Entscheid verletzt sein sollen ( Art. 42 Abs. 2 BGG ; BGE 135 V 94 E. 1 S. 95; 134 V 53 E. 3.3 S. 60; 134 II 244 E. 2.2 S. 246 und 133 IV 286 E. 1.4 S. 287),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Verwaltungsrechtliche Abteilung, und dem Regierungsstatthalteramt Biel schriftlich mitgeteilt.</w:t>
      </w:r>
    </w:p>
    <w:p>
      <w:r>
        <w:t>Luzern, 21. Mai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