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8C_311/2015 vom 22. Januar 2016</w:t>
      </w:r>
    </w:p>
    <w:p>
      <w:r>
        <w:t>Bundesgericht, 2016-01-22, FR</w:t>
      </w:r>
    </w:p>
    <w:p>
      <w:r>
        <w:rPr>
          <w:b/>
        </w:rPr>
        <w:t xml:space="preserve">Quelle: </w:t>
      </w:r>
      <w:r>
        <w:t>https://mcp.opencaselaw.ch/entscheid/bger_8C_311_2015</w:t>
      </w:r>
    </w:p>
    <w:p>
      <w:r>
        <w:t>FR: TF 8C_311/2015 du 22 janvier 2016</w:t>
      </w:r>
    </w:p>
    <w:p>
      <w:r>
        <w:t>IT: TF 8C_311/2015 del 22 gennaio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le recourant depuis le 1</w:t>
      </w:r>
    </w:p>
    <w:p>
      <w:r>
        <w:t>er janvier 2014. Le taux de l'atteinte à l'intégrité n'est en revanche plus litigieux.</w:t>
      </w:r>
    </w:p>
    <w:p>
      <w:r>
        <w:t>La procédure portant sur l'octroi ou le refus de prestations en espèces de l'assurance-accidents, le Tribunal fédéral n'est pas lié par les faits établis par la juridiction précédente ( art. 105 al. 3 LTF ).</w:t>
      </w:r>
    </w:p>
    <w:p>
      <w:r>
        <w:rPr>
          <w:b/>
        </w:rPr>
        <w:t>E. 3</w:t>
      </w:r>
    </w:p>
    <w:p>
      <w:r>
        <w:t>La cour cantonale a constaté que les séquelles de l'accident n'empêchent pas l'assuré d'exercer, à raison de 100 %, une activité respectant les restrictions énoncées par le docteur D.________ dans son examen final du 27 juin 2013. Aussi s'est-elle fondée sur le revenu d'invalide établi par la CNA sur la base de descriptions de postes de travail (DPT) jugées compatibles avec les limitations attestées, soit 4'632 fr. par mois. La comparaison avec un revenu sans invalidité de 5'742 fr. faisait apparaître un taux d'incapacité de gain de 19,33 %, arrondi à 19 %. La juridiction précédente a relevé que la détermination du revenu d'invalide sur la base d'une évaluation fondée sur l'Enquête suisse sur la structure des salaires (ESS) n'aboutirait pas à un résultat sensiblement différent.</w:t>
      </w:r>
    </w:p>
    <w:p>
      <w:r>
        <w:rPr>
          <w:b/>
        </w:rPr>
        <w:t>E. 4.1</w:t>
      </w:r>
    </w:p>
    <w:p>
      <w:r>
        <w:t>Comme déjà en procédure d'opposition et en instance cantonale, le recourant conteste la compatibilité des DPT avec son atteinte à la santé. Le recourant requiert la fixation de son revenu d'invalide en se référant aux statistiques salariales et en opérant un abattement de 20 % ou, subsidiairement de 15 %. Dans le premier cas, il en résulterait un taux d'invalidité de 27 % et dans le second cas, un taux de 23 %.</w:t>
      </w:r>
    </w:p>
    <w:p>
      <w:r>
        <w:rPr>
          <w:b/>
        </w:rPr>
        <w:t>E. 4.2</w:t>
      </w:r>
    </w:p>
    <w:p>
      <w:r>
        <w:t>La question de savoir si les cinq DPT retenues par la CNA sont compatibles avec l'état de santé du recourant peut rester ouverte car même si l'on s'écarte du revenu moyen reposant sur ces DPT pour se fonder sur un revenu moyen tiré de l'enquête sur la structure des salaires publiée par l'Office fédéral de la statistique (ESS), comme le demande le recourant, on n'obtient pas un taux d'incapacité de gain supérieur au taux retenu par l'intimée, ainsi qu'on le verra.</w:t>
      </w:r>
    </w:p>
    <w:p>
      <w:r>
        <w:rPr>
          <w:b/>
        </w:rPr>
        <w:t>E. 4.3</w:t>
      </w:r>
    </w:p>
    <w:p>
      <w:r>
        <w:t>Le salaire statistique de référence est celui auquel peuvent prétendre les hommes effectuant des activités simples et répétitives (niveau de qualification 4) dans le secteur privé, soit en 2010, 4'901 fr. par mois (ESS 2010, p. 26, TA1). Comme les salaires bruts standardisés tiennent compte d'un horaire de travail de quarante heures, soit une durée hebdomadaire inférieure à la moyenne usuelle dans les entreprises en 2013 (41,7 heures; La Vie économique, 1/2-2015, p. 92, B 9.2), ce montant doit être porté à 5'109 fr. Après adaptation de ce chiffre à l'évolution des salaires selon l'indice des salaires nominaux pour les hommes de l'année 2013 (+ 1 % en 2011, + 0,8 % en 2012 et + 0,7 % en 2013; La Vie économique, 1/2-2015, p. 93, B 10.2), on obtient un revenu mensuel de 5'237 fr., soit 62'844 fr. par an. Reste à examiner le taux de l'abattement.</w:t>
      </w:r>
    </w:p>
    <w:p>
      <w:r>
        <w:rPr>
          <w:b/>
        </w:rPr>
        <w:t>E. 4.4</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 p. 72, 132 V 393 consid. 3.3 p. 399).</w:t>
      </w:r>
    </w:p>
    <w:p>
      <w:r>
        <w:rPr>
          <w:b/>
        </w:rPr>
        <w:t>E. 4.5</w:t>
      </w:r>
    </w:p>
    <w:p>
      <w:r>
        <w:t>Les premiers juges ont considéré que le taux de 10 % retenu par l'intimée tenait suffisamment compte de l'âge de l'assuré (près de 55 ans au moment de la comparaison des revenus) et de ses limitations fonctionnelles. 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Ces motifs sont pertinents. En l'espèce, le recourant ne démontre pas à satisfaction de droit en quoi la cour cantonale aurait exercé son pouvoir d'appréciation de manière contraire au droit. Vu ce qui précède, le revenu d'invalide exigible s'élève à 56'559 fr. 60 (62'844 fr. - 10 %). En comparant ce montant au revenu sans invalidité non contesté de 68'900 fr., on obtient un taux d'invalidité de 17,9 %. Arrondi à 18 % ( ATF 130 V 121 ), ce taux est très légèrement inférieur au taux de 19 % retenu dans la décision sur opposition de l'intimée du 28 mai 2014. On arriverait au même taux si l'on se fondait sur un revenu d'invalide de 62'643 fr. 50 comme le voudrait le recourant (68'900 - 56'379.15 [62'643.50 - 10 %] : 68'900 x 100). Le taux d'invalidité de 19 % retenu par la CNA n'est par conséquent pas critiquable et le recours se révèle ainsi mal fondé.</w:t>
      </w:r>
    </w:p>
    <w:p>
      <w:r>
        <w:rPr>
          <w:b/>
        </w:rPr>
        <w:t>E. 5</w:t>
      </w:r>
    </w:p>
    <w:p>
      <w:r>
        <w:t>Le recourant a présenté une demande d'assistance judiciaire. Au vu de la jurisprudence (cf. consid. 4.4) et des motifs énoncés par les premiers juges pour justifier un taux d'abattement maximum de 10 %, les conclusions du recours apparaissaient d'emblée vouées à l'échec, de sorte que la demande d'assistance judiciaire doit être rejetée ( art. 64 al. 1 LTF a contrario).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