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8C_310/2023 vom 5. Juni 2023</w:t>
      </w:r>
    </w:p>
    <w:p>
      <w:r>
        <w:t>Bundesgericht, 2023-06-05, DE</w:t>
      </w:r>
    </w:p>
    <w:p>
      <w:r>
        <w:rPr>
          <w:b/>
        </w:rPr>
        <w:t xml:space="preserve">Quelle: </w:t>
      </w:r>
      <w:r>
        <w:t>https://mcp.opencaselaw.ch/entscheid/bger_8C_310_2023</w:t>
      </w:r>
    </w:p>
    <w:p>
      <w:r>
        <w:t>FR: TF 8C_310/2023 du 5 juin 2023</w:t>
      </w:r>
    </w:p>
    <w:p>
      <w:r>
        <w:t>IT: TF 8C_310/2023 del 5 giugno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27. März 2023 den Einspracheentscheid des Beschwerdegegners vom 14. September 2022 und erörterte dabei unter Verweis auf die massgeblichen Gesetzesbestimmungen und die Rechtsprechung ( Art. 25 Abs. 1 ATSG ; BGE 138 V 218 E. 4 mit Hinweis), weshalb der Erlass der Rückforderung der unrechtmässig bezogenen Kurzarbeitsentschädigung für die Monate April 2020 bis Mai 2021 von Fr. 160'875.80 ausser Frage steht. Demnach hätte die Beschwerdeführerin wegen des unmissverständlichen Hinweises in den Antragsformularen wie auch in diversen Verfügungen bei gebotener Sorgfalt erkennen müssen, dass sie eine der Bestimm- und Kontrollierbarkeit des Arbeitsausfalls genügende betriebliche Arbeitszeitkontrolle zu führen und während fünf Jahren aufzubewahren hat.</w:t>
      </w:r>
    </w:p>
    <w:p>
      <w:r>
        <w:rPr>
          <w:b/>
        </w:rPr>
        <w:t>E. 3</w:t>
      </w:r>
    </w:p>
    <w:p>
      <w:r>
        <w:t>Die Vorbringen der Beschwerdeführerin gehen nicht über eine letztinstanzlich unzulässige appellatorische Kritik hinaus. Insbesondere reicht es nicht aus, sinngemäss um Nachsicht zu ersuchen, weil der Geschäftsführer andere Prioritäten gesetzt habe als die Antragsformulare und Verfügungen mit der gebotenen Aufmerksamkeit zu lesen, zumal damit auch nicht dargetan ist, dass die Vorinstanz wesentliche Aspekte verkannt hätte.</w:t>
      </w:r>
    </w:p>
    <w:p>
      <w:r>
        <w:rPr>
          <w:b/>
        </w:rPr>
        <w:t>E. 4</w:t>
      </w:r>
    </w:p>
    <w:p>
      <w:r>
        <w:t>Liegt demnach offensichtlich keine hinreichend sachbezogen begründete Beschwerde vor,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