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8C_30/2024 vom 23. Januar 2024</w:t>
      </w:r>
    </w:p>
    <w:p>
      <w:r>
        <w:t>Bundesgericht, 2024-01-23, DE</w:t>
      </w:r>
    </w:p>
    <w:p>
      <w:r>
        <w:rPr>
          <w:b/>
        </w:rPr>
        <w:t xml:space="preserve">Quelle: </w:t>
      </w:r>
      <w:r>
        <w:t>https://mcp.opencaselaw.ch/entscheid/bger_8C_30_2024</w:t>
      </w:r>
    </w:p>
    <w:p>
      <w:r>
        <w:t>FR: TF 8C_30/2024 du 23 janvier 2024</w:t>
      </w:r>
    </w:p>
    <w:p>
      <w:r>
        <w:t>IT: TF 8C_30/2024 del 23 gennaio 2024</w:t>
      </w:r>
    </w:p>
    <w:p>
      <w:pPr>
        <w:pStyle w:val="Heading2"/>
      </w:pPr>
      <w:r>
        <w:t>Volltext</w:t>
      </w:r>
    </w:p>
    <w:p>
      <w:r>
        <w:t>Bundesgericht</w:t>
      </w:r>
    </w:p>
    <w:p>
      <w:r>
        <w:t>Tribunal fédéral</w:t>
      </w:r>
    </w:p>
    <w:p>
      <w:r>
        <w:t>Tribunale federale</w:t>
      </w:r>
    </w:p>
    <w:p>
      <w:r>
        <w:t>Tribunal federal</w:t>
      </w:r>
    </w:p>
    <w:p>
      <w:r>
        <w:t>8C_30/2024</w:t>
      </w:r>
    </w:p>
    <w:p>
      <w:r>
        <w:t>Urteil vom 23. Januar 2024</w:t>
      </w:r>
    </w:p>
    <w:p>
      <w:r>
        <w:t>IV. öffentlich-rechtliche Abteilung</w:t>
      </w:r>
    </w:p>
    <w:p>
      <w:r>
        <w:t>Besetzung</w:t>
      </w:r>
    </w:p>
    <w:p>
      <w:r>
        <w:t>Bundesrichter Wirthlin, Präsident,</w:t>
      </w:r>
    </w:p>
    <w:p>
      <w:r>
        <w:t>Gerichtsschreiber Grünvogel.</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 (Prozessvoraussetzung),</w:t>
      </w:r>
    </w:p>
    <w:p>
      <w:r>
        <w:t>Beschwerde gegen das Urteil des Sozialversicherungsgerichts des Kantons Zürich vom 17. November 2023 (IV.2023.00191).</w:t>
      </w:r>
    </w:p>
    <w:p>
      <w:r>
        <w:t>Nach Einsicht</w:t>
      </w:r>
    </w:p>
    <w:p>
      <w:r>
        <w:t>in die Beschwerde vom 16. Januar 2024 (Aufgabedatum an die elektronische Plattform PrivaSphere) gegen das Urteil des Sozialversicherungsgerichts des Kantons Zürich vom 17. November 2023 sowie vorangegangene E-Mail-Korrespondenz zwischen A.________ und dem Bundesgericht,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t>dass die Beschwerde diesen inhaltlichen Mindestanforderungen offensichtlich nicht genügt, geht die Beschwerdeführerin darin doch auf das von der Vorinstanz zur Rechtmässigkeit der Verfügung der Beschwerdegegnerin vom 28. Februar 2023 Erwogene nicht näher ein; allein auf den Gesundheitszustand und die schwierigen Lebensumstände zu verweisen, reicht nicht aus,</w:t>
      </w:r>
    </w:p>
    <w:p>
      <w:r>
        <w:t>dass deshalb im vereinfachten Verfahren nach Art. 108 Abs. 1 lit. b BGG auf die Beschwerde nicht einzutreten ist,</w:t>
      </w:r>
    </w:p>
    <w:p>
      <w:r>
        <w:t>dass die Beschwerdeschrift im Übrigen - obwohl vom Bundesgericht noch ausdrücklich darauf aufmerksam gemacht - nicht gültig signiert ist (Näheres dazu: Art. 42 Abs. 4 BGG in Verbindung mit Art. 2 lit. e und Art. 8 ZertES , SR 943.03; Art. 1 VZertES , SR.943.032; Liste der gemäss ZertES anerkannten Anbieterinnen von Zertifizierungsdiensten; abrufbar unter https://www.sas. admin.ch/sas/de/home/akkreditiertestellen/akkrstellensuchesas/pki1.html; siehe auch den auf www.bger.ch angebrachten Link "Elektronischer Verkehr"),</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23. Januar 2024</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