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8C_309/2025 vom 17. Juni 2025</w:t>
      </w:r>
    </w:p>
    <w:p>
      <w:r>
        <w:t>Bundesgericht, 2025-06-17, DE</w:t>
      </w:r>
    </w:p>
    <w:p>
      <w:r>
        <w:rPr>
          <w:b/>
        </w:rPr>
        <w:t xml:space="preserve">Quelle: </w:t>
      </w:r>
      <w:r>
        <w:t>https://mcp.opencaselaw.ch/entscheid/bger_8C_309_2025</w:t>
      </w:r>
    </w:p>
    <w:p>
      <w:r>
        <w:t>FR: TF 8C_309/2025 du 17 juin 2025</w:t>
      </w:r>
    </w:p>
    <w:p>
      <w:r>
        <w:t>IT: TF 8C_309/2025 del 17 giugno 2025</w:t>
      </w:r>
    </w:p>
    <w:p>
      <w:pPr>
        <w:pStyle w:val="Heading2"/>
      </w:pPr>
      <w:r>
        <w:t>Erwägungen</w:t>
      </w:r>
    </w:p>
    <w:p>
      <w:r>
        <w:rPr>
          <w:b/>
        </w:rPr>
        <w:t>E. 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legte im angefochtenen Entscheid vom 10. April 2025 in Auseinandersetzung mit den Parteivorbringen und in Würdigung der Akten dar, weshalb der Einspracheentscheid der Beschwerdegegnerin vom 27. März 2024, mit welchem eine über den 2. Juli 2021 hinausgehende Leistungspflicht für beim Beschwerde-führer vorhandene Gesundheitsschäden verneint wurde, rechtens sei. Diese stünden nicht (mehr) in einem natürlichen Kausalzusammenhang zum versicherten Unfall vom 3. Januar 2021.</w:t>
      </w:r>
    </w:p>
    <w:p>
      <w:r>
        <w:rPr>
          <w:b/>
        </w:rPr>
        <w:t>E. 3</w:t>
      </w:r>
    </w:p>
    <w:p>
      <w:r>
        <w:t>Der Beschwerdeführer zeigt nicht auf, inwieweit die von der Vorinstanz in diesem Zusammenhang getroffenen Sachverhaltsfeststellungen im Sinne von Art. 97 Abs. 2 BGG unrichtig sein und die darauf beruhenden Erwägungen gegen Bundesrecht verstossen oder einen anderen Beschwerdegrund (vgl. Art. 95 lit. a-e BGG ) gesetzt haben sollen. Insbesondere soweit er die Verletzung des Gleichheitsgebots rügt, legt er nicht nachvollziehbar dar, inwiefern dieses durch den Entscheid in der Sache nach vorgängiger Rückweisung zwecks weitergehender Sachverhaltsabklärungen und anschliessendem neuem Entscheid tangiert sein könnte. Ebenso wenig reicht es aus, allein aus dem Umstand, dass das kantonale Gericht die im Recht liegenden Beweismittel nicht wie beantragt gewürdigt hat, auf eine Verletzung der zahlreich angerufenen Verfahrens- und Verfassungsbestimmungen schliessen zu wollen. Letztlich beschränken sich die Vorbringen auf eine pauschal gehaltene Kritik an der vorinstanzlichen Beweiswürdigung. Die Eingabe weist querulatorische Züge auf (siehe dazu Art. 33 Abs. 2, Art. 42 Abs. 7 und Art. 108 lit. c BGG ).</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kann ausnahmsweise nochmals (bereits so: Urteil 8C_244/2024 vom 23. Mai 2024) auf die Erhebung von Gerichtskosten verzichtet werden. Indessen darf der Beschwerdeführer bei gleichbleibenden künftigen Eingaben nicht mehr mit dieser Rechtswohltat 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