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8C_308/2018 vom 25. Mai 2018</w:t>
      </w:r>
    </w:p>
    <w:p>
      <w:r>
        <w:t>Bundesgericht, 2018-05-25, DE</w:t>
      </w:r>
    </w:p>
    <w:p>
      <w:r>
        <w:rPr>
          <w:b/>
        </w:rPr>
        <w:t xml:space="preserve">Quelle: </w:t>
      </w:r>
      <w:r>
        <w:t>https://mcp.opencaselaw.ch/entscheid/bger_8C_308_2018</w:t>
      </w:r>
    </w:p>
    <w:p>
      <w:r>
        <w:t>FR: TF 8C_308/2018 du 25 mai 2018</w:t>
      </w:r>
    </w:p>
    <w:p>
      <w:r>
        <w:t>IT: TF 8C_308/2018 del 25 maggio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8C_308/2018</w:t>
      </w:r>
    </w:p>
    <w:p>
      <w:r>
        <w:t>Urteil vom 25. Mai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 Kosovo, Beschwerdeführer,</w:t>
      </w:r>
    </w:p>
    <w:p>
      <w:r>
        <w:t>gegen</w:t>
      </w:r>
    </w:p>
    <w:p>
      <w:r>
        <w:t>IV-Stelle für Versicherte im Ausland IVSTA, Avenue Edmond-Vaucher 18, 1203 Genf,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Bundesverwaltungsgerichts vom 20. März 2018 (C_4803/2016).</w:t>
      </w:r>
    </w:p>
    <w:p>
      <w:r>
        <w:t>Nach Einsicht</w:t>
      </w:r>
    </w:p>
    <w:p>
      <w:r>
        <w:t>in die Beschwerde vom 24. April 2018 (Übergabe an die Schweizerische Post) gegen den Entscheid des Bundesverwaltungsgerichts vom 20. März 2018,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nicht genügt, erschöpft sie sich doch in der Schilderung von Geschehensabläufen, ohne zugleich aufzuzeigen, inwiefern die von der Vorinstanz in diesem Zusammenhang getroffenen Sachverhaltsfeststellungen - soweit überhaupt entscheidrelevant - offensichtlich unrichtig im Sinne von Art. 97 Abs. 1 BGG und die darauf beruhenden Erwägungen rechtsfehlerhaft sein sollen,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Bundesverwaltungsgericht, Abteilung III, und dem Bundesamt für Sozialversicherungen schriftlich mitgeteilt.</w:t>
      </w:r>
    </w:p>
    <w:p>
      <w:r>
        <w:t>Luzern, 25. Mai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