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308/2016 vom 6. September 2016</w:t>
      </w:r>
    </w:p>
    <w:p>
      <w:r>
        <w:t>Bundesgericht, 2016-09-06, DE</w:t>
      </w:r>
    </w:p>
    <w:p>
      <w:r>
        <w:rPr>
          <w:b/>
        </w:rPr>
        <w:t xml:space="preserve">Quelle: </w:t>
      </w:r>
      <w:r>
        <w:t>https://mcp.opencaselaw.ch/entscheid/bger_8C_308_2016</w:t>
      </w:r>
    </w:p>
    <w:p>
      <w:r>
        <w:t>FR: TF 8C 308/2016 du 6 septembre 2016</w:t>
      </w:r>
    </w:p>
    <w:p>
      <w:r>
        <w:t>IT: TF 8C 308/2016 del 6 settembre 2016</w:t>
      </w:r>
    </w:p>
    <w:p>
      <w:pPr>
        <w:pStyle w:val="Heading2"/>
      </w:pPr>
      <w:r>
        <w:t>Regeste</w:t>
      </w:r>
    </w:p>
    <w:p>
      <w:r>
        <w:t>Invalidenversicherung (Intensivpflegezuschlag)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Der Anspruch auf eine Hilflosenentschädigung zur IV-Rente selbst ist nicht mehr umstritten. Streitig und zu prüfen ist, ob die Vorinstanz Bundesrecht verletzte, indem sie der Beschwerdegegnerin zur Hilflosenentschädigung einen Intensivpflegezuschlag zusprach.</w:t>
      </w:r>
    </w:p>
    <w:p>
      <w:r>
        <w:rPr>
          <w:b/>
        </w:rPr>
        <w:t>E. 3</w:t>
      </w:r>
    </w:p>
    <w:p>
      <w:r>
        <w:t>Gemäss Art. 42ter Abs. 3 IVG wird die Hilflosenentschädigung für Minderjährige, die zusätzlich eine intensive Betreuung brauchen, um einen Intensivpflegezuschlag erhöht; dieser Zuschlag wird nicht gewährt bei einem Aufenthalt in einem Heim. Der monatliche Intensivpflegezuschlag beträgt bei einem invaliditätsbedingten Betreuungsaufwand von mindestens 8 Stunden pro Tag 60 Prozent, bei einem solchen von mindestens 6 Stunden pro Tag 40 Prozent und bei einem solchen von mindestens 4 Stunden pro Tag 20 Prozent des Höchstbetrages der Altersrente nach Artikel 34 Abs. 3 und 5 AHVG. Der Zuschlag berechnet sich pro Tag. Der Bundesrat regelt im Übrigen die Einzelheiten. Dies ist in Art. 36 und insbesondere Art. 39 IVV erfolgt. Nach Art. 39 IVV liegt eine intensive Betreuung im Sinne von Artikel 42ter Absatz 3 IVG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w:t>
      </w:r>
    </w:p>
    <w:p>
      <w:r>
        <w:rPr>
          <w:b/>
        </w:rPr>
        <w:t>E. 4</w:t>
      </w:r>
    </w:p>
    <w:p>
      <w:r>
        <w:t>Die IV-Stelle verneinte in der Verfügung vom 6. Januar 2015 den Anspruch auf einen Intensivpflegezuschlag mit der Begründung, gemäss ihren Abklärungen sei die Versicherte beim An- und Auskleiden, der Körperpflege, dem Verrichten der Notdurft und der Fortbewegung/Kontaktpflege auf regelmässige und erhebliche Hilfe angewiesen. Zudem müsse sie persönlich überwacht werden. Der tägliche zeitliche Mehraufwand liege aber insgesamt unter vier Stunden. Die IV-Stelle stützte sich hiebei auf den Abklärungsbericht vom 6. November 2014. In diesem bemassen die Abklärungspersonen gestützt auf Erhebungen an Ort und Stelle den täglichen zeitlichen Mehrbedarf bei den genannten Verrichtungen und unter Anrechnung einer dauernden Überwachung auf insgesamt 3 Stunden 37 Minuten. Hilfe im Rahmen Behandlungspflege sei nicht erforderlich. Der angerechnete Betreuungsaufwand setzt sich mithin aus 1 Stunde 37 Minuten für Grundpflege im Sinne von Art. 39 Abs. 2 Satz 1 IVV und 2 Stunden für dauernde Überwachung im Sinne von Art. 39 Abs. 3 Satz 1 IVV zusammen. Das kantonale Gericht hat im Bereich Grundpflege pro Tag einen Zeitaufwand von zusätzlich 16 Minuten für indirekte Hilfe beim Essen und von 22 Minuten (statt den von der Verwaltung anerkannten 2 Minuten) für indirekte Hilfe beim Verrichten der Notdurft angerechnet. Dies führte zu einem invaliditätsbedingten Betreungsaufwand von insgesamt 4 Stunden 13 Minuten. Die IV-Stelle rügt, die Vorinstanz sei damit zu Unrecht von der Einschätzung der Abklärungspersonen abgewichen. Die Abweichungen würden durch die Akten nicht gestützt. Die Versicherte und das kantonale Gericht verneinen dies.</w:t>
      </w:r>
    </w:p>
    <w:p>
      <w:r>
        <w:rPr>
          <w:b/>
        </w:rPr>
        <w:t>E. 5.1</w:t>
      </w:r>
    </w:p>
    <w:p>
      <w:r>
        <w:t>Gemäss Art. 69 Abs. 2 IVV kann die IV-Stelle zur Prüfung eines Leistungsanspruchs unter anderem Abklärungen an Ort und Stelle vornehmen. Nach der Rechtsprechung hat ein Abklärungsbericht unter dem Aspekt der Hilflosigkeit ( Art. 9 ATSG )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S. 547 mit Hinweisen; SVR 2012 IV Nr. 54 S. 195, 8C_756/2011 E. 3.2). Diese Grundsätze gelten entsprechend auch für die Abklärung der Hilflosigkeit unter dem Aspekt des Intensivpflegezuschlags (vgl. erwähntes Urteil 8C_756/2011 E. 3.2 mit Hinweis). Festzuhalten ist sodann, dass es beim erwähnten "Ermessen der die Abklärung tätigenden Person" nicht um Ermessen im Sinn der verwaltungsrechtlichen Terminologie - mithin um die Abgrenzung der Entscheidsbefugnis des Gerichts gegenüber der Zuständigkeit der Verwaltung unter dem Gesichtspunkt der Zweckmässigkeitsprüfung -, sondern um eine Frage der Beweiswürdigung geht (erwähntes Urteil 8C_756/2011 E. 4.4 mit Hinweisen). Weicht ein Gericht von der Einschätzung der Abklärungspersonen ab, ohne Fehleinschätzungen im oberwähnten Sinn festzustellen, verletzt dies sodann eine Beweiswürdigungsregel und den Untersuchungsgrundsatz. Das wird als Rechtsfrage vom Bundesgericht frei überprüft (statt vieler: SVR 2016 IV Nr. 6 S. 18, 8C_461/2015 E. 1 mit Hinweisen; Urteil 9C_457/2014 E. 1.2, nicht publ. in: BGE 141 V 405 , aber in: SVR 2016 BVG Nr. 11 S. 47; vgl. auch erwähntes Urteil 8C_756/2011 E. 1).</w:t>
      </w:r>
    </w:p>
    <w:p>
      <w:r>
        <w:rPr>
          <w:b/>
        </w:rPr>
        <w:t>E. 5.2</w:t>
      </w:r>
    </w:p>
    <w:p>
      <w:r>
        <w:t>Das kantonale Gericht hat erwogen, die Versicherte bedürfe beim Essen einer indirekten Hilfe, weshalb der entsprechende Zeitaufwand zu berücksichtigen sei. Die von der Mutter angegebenen 16 Minuten seien plausibel. Im Abklärungsbericht vom 6. November 2014 haben die Abklärungspersonen indessen zunächst begründet, weshalb sie zur Auffassung gelangt sind, beim Essen falle kein Zusatzaufwand an. Sie haben sodann dargelegt, weshalb sie den von der Mutter der Versicherten angegebenen Zeitaufwand von 16 Minuten beim Essen für nicht gerechtfertigt erachten. In einer ergänzenden Stellungnahme vom 12. März 2015 haben sich die Abklärungspersonen nochmals entsprechend geäussert. Das kantonale Gericht hat es bei seiner erwähnten Erwägungen belassen, ohne ein Wort dazu zu verlieren, weshalb von der einlässlich begründeten Einschätzung der Abklärungspersonen abzuweichen und vielmehr auf die Angaben der Mutter der Versicherten abgestellt werden soll. Alleine mit der Erwägung, die Angaben der Mutter seien plausibel, wird jedenfalls nicht auf eine klar feststellbare Fehleinschätzung der Abklärungspersonen erkannt. Dass das kantonale Gericht dennoch 16 Minuten invaliditätsbedingten Betreuungsaufwand angerechnet hat, ist daher bundesrechtswidrig. Es bedarf hiezu auch keiner weiteren Abklärungen, da sich der rechtserhebliche Sachverhalt aus den Akten ergibt und gestützt auf diese ein solcher Mehraufwand zu verneinen ist.</w:t>
      </w:r>
    </w:p>
    <w:p>
      <w:r>
        <w:rPr>
          <w:b/>
        </w:rPr>
        <w:t>E. 5.3</w:t>
      </w:r>
    </w:p>
    <w:p>
      <w:r>
        <w:t>Beim Bereich "Verrichten der Notdurft" hat das kantonale Gericht ebenfalls auf die Angaben der Mutter abgestellt. Es hat dies zwar eingehend begründet. Indessen fällt auf, dass es hiebei wesentlich auf eigene Vermutungen zu notwendiger indirekter Hilfe abgestellt hat. Das gilt etwa für die Annahme, die Versicherte würde die Notdurft nicht selbst verrichten, wenn die Mutter nicht vor der WC-Tür warten würde. Zu erwähnen ist sodann die vorinstanzliche Erwägung, wonach die Mutter zwar keine Angaben zum dafür nötigen Zeitaufwand gemacht habe, dieser aber nach der allgemeinen Lebenserfahrung auf mindestens 10 Minuten pro Tag anzusetzen sei. Es erscheint insgesamt fraglich, ob auf eine klar feststellbare Fehleinschätzung der Abklärungspersonen geschlossen wurde und ob dies gerechtfertigt wäre. Abschliessend muss dies aber nicht beurteilt zu werden. Denn nachdem - wie oben dargelegt - der vom kantonalen Gericht angerechnete Mehraufwand im Bereich Essen entfällt, wird der für einen Intensivpflegezuschlag erforderliche Betreuungsaufwand ohnehin nicht erreicht.</w:t>
      </w:r>
    </w:p>
    <w:p>
      <w:r>
        <w:rPr>
          <w:b/>
        </w:rPr>
        <w:t>E. 5.4</w:t>
      </w:r>
    </w:p>
    <w:p>
      <w:r>
        <w:t>In der Vernehmlassung der Versicherten wird geltend gemacht, typisch für Personen mit Aspergersyndrom sei, dass sich das Verhalten auswärts von dem zu Hause unterscheide. Das vermag aber kein anderes Ergebnis zu rechtfertigen. Festzuhalten ist sodann, dass die bestehende gesundheitliche Problematik zweifellos mit erheblichen Erschwernissen für die Versicherte und ihr familiäres Umfeld verbunden ist. Aus den Akten geht überdies hervor, dass die Familie viel Einsatz zeigt, um der Versicherten die bestmöglichen Rahmenbedingungen zu schaffen. Das verdient Anerkennung und Respekt, entbindet indessen weder die Verwaltung noch das erstinstanzliche Gericht oder das Bundesgericht davon, den streitigen Leistungsanspruch nach den gesetzlichen Vorgaben zu prüfen. Im vorliegenden Fall führt dies zur Verneinung des Anspruchs auf einen Intensivpflegezuschlag. Die Beschwerde ist gutzuheissen.</w:t>
      </w:r>
    </w:p>
    <w:p>
      <w:r>
        <w:rPr>
          <w:b/>
        </w:rPr>
        <w:t>E. 6</w:t>
      </w:r>
    </w:p>
    <w:p>
      <w:r>
        <w:t>Die Kosten des Verfahrens sind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