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8C_307/2026 vom 2. Juni 2026</w:t>
      </w:r>
    </w:p>
    <w:p>
      <w:r>
        <w:t>Bundesgericht, 2026-06-02, DE</w:t>
      </w:r>
    </w:p>
    <w:p>
      <w:r>
        <w:rPr>
          <w:b/>
        </w:rPr>
        <w:t xml:space="preserve">Quelle: </w:t>
      </w:r>
      <w:r>
        <w:t>https://mcp.opencaselaw.ch/entscheid/bger_8C_307_2026</w:t>
      </w:r>
    </w:p>
    <w:p>
      <w:r>
        <w:t>FR: TF 8C_307/2026 du 2 juin 2026</w:t>
      </w:r>
    </w:p>
    <w:p>
      <w:r>
        <w:t>IT: TF 8C_307/2026 del 2 giugno 2026</w:t>
      </w:r>
    </w:p>
    <w:p>
      <w:pPr>
        <w:pStyle w:val="Heading2"/>
      </w:pPr>
      <w:r>
        <w:t>Erwägungen</w:t>
      </w:r>
    </w:p>
    <w:p>
      <w:r>
        <w:rPr>
          <w:b/>
        </w:rPr>
        <w:t>E. 1.1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aufzuzeigen, welche Vorschriften inwiefern von der Vorinstanz verletzt worden sein sollen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1.2</w:t>
      </w:r>
    </w:p>
    <w:p>
      <w:r>
        <w:t>Neue Tatsachen und Beweismittel dürfen im bundesgerichtlichen Verfahren nur soweit vorgebracht werden, als erst der Entscheid der Vorinstanz dazu Anlass gibt ( Art. 99 Abs. 1 BGG ). Gemeint sind dabei allein unechte Noven, das heisst Tatsachen und Beweismittel, die aus der Zeit vor der vorinstanzlichen Urteilsfällung stammen.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Bundesverwaltungsgericht legte im Urteil vom 11. März 2026 in Auseinandersetzung mit den Parteivorbringen und in Würdigung der Akten dar, weshalb die Beschwerdegegnerin dem Beschwerdeführer mit Verfügung vom 27. Januar 2023 ab 1. September 2020 eine ganze Rente und ab 1. Juli 2021 eine Viertelsrente der Invalidenversicherung zusprechen durfte.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eine Verschlechterung des Gesundheitszustands zu behaupten und dabei auf den erst im Nachgang an das vorinstanzliche Urteil erstellten und damit unzulässigen (E. 1.2 hiervor) Bericht des Dr. med. Moosbrugger, Lingenau (Österreich), vom 5. Mai 2026 zu verweisen,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