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8C_307/2020 vom 2. September 2020</w:t>
      </w:r>
    </w:p>
    <w:p>
      <w:r>
        <w:t>Bundesgericht, 2020-09-02, DE</w:t>
      </w:r>
    </w:p>
    <w:p>
      <w:r>
        <w:rPr>
          <w:b/>
        </w:rPr>
        <w:t xml:space="preserve">Quelle: </w:t>
      </w:r>
      <w:r>
        <w:t>https://mcp.opencaselaw.ch/entscheid/bger_8C_307_2020</w:t>
      </w:r>
    </w:p>
    <w:p>
      <w:r>
        <w:t>FR: TF 8C_307/2020 du 2 septembre 2020</w:t>
      </w:r>
    </w:p>
    <w:p>
      <w:r>
        <w:t>IT: TF 8C_307/2020 del 2 settembre 2020</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auch alle übrigen Sachurteilsvoraussetzungen vorliegen, ist auf die Beschwerde in öffentlich-rechtlichen Angelegenheiten einzutreten. Insofern bleibt kein Raum für die eventualiter eingereichte subsidiäre Verfassungsbeschwerde ( Art. 113 BGG ).</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S. 124 mit Hinweisen).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145 V 188 E. 2 S. 190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3.1</w:t>
      </w:r>
    </w:p>
    <w:p>
      <w:r>
        <w:t>Streitig und zu prüfen ist, ob die Vorinstanz Bundes- oder Völkerrecht verletzte (vgl. Art. 95 lit. a und b BGG ), indem sie die Rechtmässigkeit der Einstellung der wirtschaftlichen Hilfe mangels Nachweises der Bedürftigkeit per 31. August 2019 bestätigte und die Verwaltung auch insoweit schützte, als sie die erneute Überprüfung der Bedürftigkeit von der Einreichung weiterer Unterlagen abhängig gemacht hatte.</w:t>
      </w:r>
    </w:p>
    <w:p>
      <w:r>
        <w:rPr>
          <w:b/>
        </w:rPr>
        <w:t>E. 3.2</w:t>
      </w:r>
    </w:p>
    <w:p>
      <w:r>
        <w:t>Die für die Beurteilung der Beschwerde massgebenden Rechtsgrundlagen sind im angefochtenen Entscheid zutreffend dargelegt worden. Darauf wird verwiesen ( Art. 109 Abs. 3 BGG ).</w:t>
      </w:r>
    </w:p>
    <w:p>
      <w:r>
        <w:rPr>
          <w:b/>
        </w:rPr>
        <w:t>E. 4.1</w:t>
      </w:r>
    </w:p>
    <w:p>
      <w:r>
        <w:t>Das kantonale Gericht stellte im Wesentlichen fest, dass der Beschwerdeführer - parallel zum jahrelangen Bezug von wirtschaftlicher Sozialhilfe in der Schweiz - im Heimatland Geschäftsaktivitäten aufweise, die der Fürsorgebehörde unbestrittenermassen nicht gemeldet worden seien. Die Vorinstanz legte im angefochtenen Entscheid dar, auf welche Berichte, Grund- und Firmenbuchauszüge, Zeitungsausschnitte sowie Inkonsistenzen im IV-Verfahren und in Aussageprotokollen sie sich bei ihrer Feststellung stützte. Die Erläuterungen des Beschwerdeführers, wonach sein Zwillingsbruder (zugegebenermassen) seine Identität missbraucht habe und im Heimatland eine alleinige Geschäftstätigkeit ausübe, qualifizierte das kantonale Gericht in Anbetracht der Faktenlage als unglaubwürdige Schutzbehauptung, welche keinen Rechtsschutz verdiene. Auch angesichts mehrerer Grundbuchauszüge, die bestätigten, dass der Beschwerdeführer Eigentümer verschiedener Liegenschaften im Land B.________ gewesen sei und diese mittels Schenkungsvertrag an seinen Sohn übertragen habe, hielt die Vorinstanz in Übereinstimmung mit dem Regierungsrat die Zweifel der Fürsorgebehörde an der Bedürftigkeit der Beschwerdeführer für berechtigt. Die Fürsorgebehörde habe daher zu Recht unter Androhung der Einstellung der wirtschaftlichen Hilfe konkrete Unterlagen bzw. eine Vollmachtserteilung zur Beschaffung des erwähnten Schenkungsvertrags eingefordert. Da die Beschwerdeführer ihrer Mitwirkungspflicht nicht nachgekommen und die dafür vorgebrachten Gründe widersprüchlich, nicht glaubhaft bzw. nicht stichhaltig seien, so das kantonale Gericht, habe die Fürsorgebehörde die wirtschaftliche Hilfe zu Recht eingestellt und eine erneute Überprüfung der Bedürftigkeit von der Erfüllung der Mitwirkungspflicht abhängig gemacht. ln Anbetracht der besonderen Situation im Zusammenhang mit dem Fristenstillstand während der Corona-Pandemie verlängerte die Vorinstanz die mit Zwischenbescheid vom 30. Dezember 2019 angeordnete Massnahme, wonach die Fürsorgebehörde für die Beschwerdeführer Nothilfe zu erbringen habe bis das Hauptverfahren abgeschlossen sei, vorläufig weiter, bis der Hauptentscheid in Rechtskraft erwachsen sei, es sei denn, das Bundesgericht ordne bei einem Weiterzug etwas anderes an.</w:t>
      </w:r>
    </w:p>
    <w:p>
      <w:r>
        <w:rPr>
          <w:b/>
        </w:rPr>
        <w:t>E. 4.2</w:t>
      </w:r>
    </w:p>
    <w:p>
      <w:r>
        <w:t>Diese Beurteilung beruht auf einlässlicher und nachvollziehbarer Würdigung der Sach- und Rechtslage. Was in der Beschwerde in weitgehender Wiederholung des bereits vorinstanzlich Vorgebrachten dagegen eingewendet wird, vermag nicht aufzuzeigen, inwiefern die Sachverhaltsfeststellung und die daraus gezogenen rechtlichen Schlüsse willkürlich sein könnten:</w:t>
      </w:r>
    </w:p>
    <w:p>
      <w:r>
        <w:rPr>
          <w:b/>
        </w:rPr>
        <w:t>E. 4.2.1</w:t>
      </w:r>
    </w:p>
    <w:p>
      <w:r>
        <w:t>Zur behaupteten Gehörsverletzung ist vorab festzuhalten, dass sich aus dem Anspruch auf rechtliches Gehör ( Art. 29 Abs. 2 BV ) keine allgemeine Pflicht der Behörde zur Abnahme aller angebotenen Beweise ableiten lässt, sondern in antizipierter Beweiswürdigung auf Weiterungen verzichtet werden darf (vgl. BGE 136 I 229 E. 5.3 S. 236). Ebenso wenig besteht aufgrund der verfassungsrechtlichen Begründungspflicht Anspruch darauf, dass sich die Behörde im Rahmen ihrer Würdigung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(zum Ganzen: BGE 142 II 49 E. 9.2 S. 65; 142 III 433 E. 4.3.2 S. 436 f. mit Hinweisen). Diesen Anforderungen genügt der vorinstanzliche Entscheid.</w:t>
      </w:r>
    </w:p>
    <w:p>
      <w:r>
        <w:rPr>
          <w:b/>
        </w:rPr>
        <w:t>E. 4.2.2</w:t>
      </w:r>
    </w:p>
    <w:p>
      <w:r>
        <w:t>Soweit die Beschwerdeführer ihre Rüge der Verletzung des rechtlichen Gehörs mit derjenigen einer unvollständigen und willkürlichen Sachverhaltsfeststellung vermengen, ist ihnen zunächst entgegenzuhalten, dass sich die von ihnen aufgelisteten Sachverhaltselemente allesamt im angefochtenen Gerichtsentscheid enthalten finden. Was deren Würdigung angeht, hat sich die Vorinstanz mit diesen Fakten befasst, jedoch insbesondere den als nicht glaubhaft erachteten Drohungen keine entscheidende Bedeutung beigemessen und die Vorbringen betreffend alleinige Geschäftstätigkeit des Zwillingsbruders des Beschwerdeführers als unglaubwürdige Schutzbehauptung qualifiziert. Inwiefern diese nach Würdigung der Beweise ergangenen Tatsachenfeststellungen offensichtlich unrichtig und damit willkürlich sein sollen, vermögen die Beschwerdeführer nicht in rechtsgenüglicher Weise darzulegen und ist auch nicht ersichtlich, zumal sich die diesbezüglichen Einwendungen weitgehend in appellatorischer Kritik erschöpfen und sich auf eine Darlegung der eigenen Sichtweise beschränken.</w:t>
      </w:r>
    </w:p>
    <w:p>
      <w:r>
        <w:rPr>
          <w:b/>
        </w:rPr>
        <w:t>E. 4.2.3</w:t>
      </w:r>
    </w:p>
    <w:p>
      <w:r>
        <w:t>Die gerügte Verletzung von Art. 12 BV verfängt ebenfalls nicht. Die Umsetzung dieser Verfassungsbestimmung obliegt den Kantonen. Diese sind in der Art und Weise der Leistungserbringung unter dem Titel der Nothilfe frei ( BGE 142 I 1 E. 7.2.1 S. 5 mit Hinweisen). Vorliegend ist der Schutzbereich von Art. 12 BV , welcher lediglich ein Minimum zur Deckung der grundlegendsten Bedürfnisse gewährt, nicht tangiert. Die Beschwerdeführer räumen selber ein, derzeit Nothilfe zu beziehen. Dabei machen sie insbesondere nicht geltend, dass die vorinstanzlich angeordnete vorsorgliche Notunterstützung in irgendeiner Weise ungenügend wäre. Soweit sie sodann in Zusammenhang mit Art. 12 BV darüber hinaus auf (weitergehende) wirtschaftliche Hilfe abzielen, ist darauf hinzuweisen, dass bei erfolgender Mitwirkung eine erneute Prüfung des betreffenden Anspruchs, namentlich der Voraussetzung der Bedürftigkeit, stattfinden wird.</w:t>
      </w:r>
    </w:p>
    <w:p>
      <w:r>
        <w:rPr>
          <w:b/>
        </w:rPr>
        <w:t>E. 4.3</w:t>
      </w:r>
    </w:p>
    <w:p>
      <w:r>
        <w:t>Zusammenfassend vermögen die Beschwerdeführer mit ihren Rügen nicht durchzudringen, weshalb es beim angefochtenen Entscheid sein Bewenden hat.</w:t>
      </w:r>
    </w:p>
    <w:p>
      <w:r>
        <w:rPr>
          <w:b/>
        </w:rPr>
        <w:t>E. 5</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6</w:t>
      </w:r>
    </w:p>
    <w:p>
      <w:r>
        <w:t>Das Gesuch um unentgeltliche Rechtspflege im bundesgerichtlichen Verfahren ist wegen Aussichtslosigkeit der Beschwerde abzuweisen ( Art. 64 Abs. 1 BGG ). Den Beschwerdeführern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