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8C_307/2015 vom 8. Oktober 2015</w:t>
      </w:r>
    </w:p>
    <w:p>
      <w:r>
        <w:t>Bundesgericht, 2015-10-08, FR</w:t>
      </w:r>
    </w:p>
    <w:p>
      <w:r>
        <w:rPr>
          <w:b/>
        </w:rPr>
        <w:t xml:space="preserve">Quelle: </w:t>
      </w:r>
      <w:r>
        <w:t>https://mcp.opencaselaw.ch/entscheid/bger_8C_307_2015</w:t>
      </w:r>
    </w:p>
    <w:p>
      <w:r>
        <w:t>FR: TF 8C_307/2015 du 8 octobre 2015</w:t>
      </w:r>
    </w:p>
    <w:p>
      <w:r>
        <w:t>IT: TF 8C_307/2015 del 8 ottobre 2015</w:t>
      </w:r>
    </w:p>
    <w:p>
      <w:pPr>
        <w:pStyle w:val="Heading2"/>
      </w:pPr>
      <w:r>
        <w:t>Erwägungen</w:t>
      </w:r>
    </w:p>
    <w:p>
      <w:r>
        <w:rPr>
          <w:b/>
        </w:rPr>
        <w:t>E. 1.1</w:t>
      </w:r>
    </w:p>
    <w:p>
      <w:r>
        <w:t>Le jugement attaqué renvoie la cause à SWICA pour instruction complémentaire et nouvelle décision uniquement en ce qui concerne le droit de l'assurée à une indemnité pour atteinte à l'intégrité, ainsi qu'à la prise en charge du traitement médical. Il rejette le recours en tant qu'il concernait le droit de l'assurée à des indemnités journalières et à une rente d'invalidité. Cette partie du jugement revêt les caractéristiques d'une décision partielle contre laquelle un recours est recevable en vertu de l' art. 91 LTF ( ATF 135 V 141 consid. 1.1 p. 143). Dans la mesure où le recours porte exclusivement sur ce dernier aspect, il y a lieu d'entrer en matière.</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La loi sur le Tribunal fédéral ne connaît pas l'institution du recours joint, de sorte que, si elle entendait contester l'arrêt cantonal, l'intimée devait agir dans le délai de recours de l' art. 100 LTF . A défaut, elle ne peut, dans ses déterminations sur le recours, que proposer l'irrecevabilité et/ou le rejet, en tout ou partie, de celui-ci ( ATF 138 V 106 consid. 2.1 p. 110). Comme l'intimée n'a pas attaqué le jugement cantonal, sa conclusion tendant à l'annulation de celui-ci en tant qu'il concerne les frais de traitement et l'indemnité pour atteinte à l'intégrité est irrecevable.</w:t>
      </w:r>
    </w:p>
    <w:p>
      <w:r>
        <w:rPr>
          <w:b/>
        </w:rPr>
        <w:t>E. 2.1</w:t>
      </w:r>
    </w:p>
    <w:p>
      <w:r>
        <w:t>Le litige porte donc sur le droit de l'assurée à des indemnités journalières, respectivement à une rente d'invalidité, pour les suites des accidents des 8 octobre et 12 décembre 2007. Par conséquent, le Tribunal fédéral n'est pas lié par les faits établis par la juridiction cantonale ( art. 105 al. 3 LTF ).</w:t>
      </w:r>
    </w:p>
    <w:p>
      <w:r>
        <w:t>A ce propos, la juridiction cantonale a retenu que SWICA avait reconnu son obligation de prester jusqu'au 31 mars 2008. Or, il ressort des pièces au dossier que les indemnités journalières perçues par l'assurée jusqu'à cette date ont été versées par l'assurance-maladie perte de gain contractée auprès de SWICA Assurance-maladie. En sa qualité d'assureur-accidents, SWICA n'a pas versé d'indemnités journalières. Cet élément n'a toutefois pas d'incidence sur l'issue du litige, comme on le verra.</w:t>
      </w:r>
    </w:p>
    <w:p>
      <w:r>
        <w:rPr>
          <w:b/>
        </w:rPr>
        <w:t>E. 3.1</w:t>
      </w:r>
    </w:p>
    <w:p>
      <w:r>
        <w:t>Invoquant les art. 43 al. 1 et art. 62 let . c LPGA (RS 830.1), ainsi que les art. 9 et 29 Cst. , la recourante se plaint de la violation du principe de la libre appréciation des preuves et du principe inquisitoire.</w:t>
      </w:r>
    </w:p>
    <w:p>
      <w:r>
        <w:t>Elle reproche aux premiers juges d'avoir nié l'existence d'un lien de causalité entre ses atteintes et les accidents des 8 octobre et 12 décembre 2007 à l'égard de certaines prestations (indemnités journalières, rente d'invalidité) tout en l'ayant envisagée pour d'autres prestations (traitement médical, indemnité pour atteinte à l'intégrité). Selon la recourante, la juridiction cantonale devait renvoyer la cause pour l'ensemble de ces prestations. En outre, en ce qui concerne le droit aux indemnités journalières et à une rente d'invalidité, elle ne pouvait pas nier l'existence d'un lien de causalité, dans la mesure où elle a écarté le seul avis médical sur le sujet, à savoir le rapport du docteur F.________ du 22 janvier 2009.</w:t>
      </w:r>
    </w:p>
    <w:p>
      <w:r>
        <w:t>Par ailleurs, l'assurée fait valoir que SWICA ne pouvait pas exiger qu'elle reprenne une activité professionnelle après le 31 mars 2008 sans lui fixer un délai raisonnable pour trouver un emploi adapté à ses limitations fonctionnelles. Elle soutient également que l'intimée devait lui verser des indemnités journalières prioritairement par rapport à l'assurance-maladie perte de gain, qui est une assurance de droit privé, et reproche aux premiers juges d'avoir fondé leur raisonnement sur la notion de causalité outrepassante.</w:t>
      </w:r>
    </w:p>
    <w:p>
      <w:r>
        <w:rPr>
          <w:b/>
        </w:rPr>
        <w:t>E. 3.2</w:t>
      </w:r>
    </w:p>
    <w:p>
      <w:r>
        <w:t>On parle de causalité outrepassante, lorsqu'après un événement dommageable se produisent de nouveaux faits, qui auraient entraîné le même dommage si celui-ci n'était pas déjà survenu. Dans ce cas, la cause subséquente ne peut plus avoir d'incidence ni sur la survenance ni sur l'étendue du dommage (voir FRANZ WERRO, La responsabilité civile, 2</w:t>
      </w:r>
    </w:p>
    <w:p>
      <w:r>
        <w:t>e éd. 2011, p. 63 s.; THOMAS PROBST, La causalité aujourd'hui, in Les causes du dommages, 2007, p. 20 s.).</w:t>
      </w:r>
    </w:p>
    <w:p>
      <w:r>
        <w:t>En l'occurrence, la juridiction cantonale n'a pas nié le lien de causalité entre les accidents et les troubles de l'assurée, contrairement à ce que soutient celle-ci. Se référant à la notion de causalité outrepassante, elle a toutefois considéré qu'un accident ne pouvait pas entraîner une incapacité de travail auprès d'une personne déjà dépourvue de toute capacité de travail. Aussi bien a-t-elle nié le droit de l'assurée aux indemnités journalières. Ces considérations sont pertinentes. En effet, depuis le mois de mai 2007, l'assurée était en incapacité de travail entière et durable dans son activité habituelle, en raison notamment de lombo-pseudo-sciatalgies chroniques et de troubles dégénératifs du rachis lombaire, ce qu'elle ne conteste pas. Dans ces conditions, force est de constater que les accidents des 8 octobre et 12 décembre 2007 n'ont pas provoqué une incapacité de travail supérieure à celle résultant des affections préexistantes. A cet égard, le fait que la recourante a reçu des indemnités pour perte de gain en cas de maladie d'une assurance privée n'est pas décisif. Enfin, le grief de la recourante selon lequel l'intimée était tenue de lui fixer un délai pour lui permettre de retrouver un emploi adapté est mal fondé, dans la mesure où SWICA (en sa qualité d'assureur-accidents) ne lui a pas versé d'indemnité journalière. Il aurait pu en aller différemment que dans l'hypothèse où l'intimée aurait supprimé le droit de l'assurée à une telle prestation. On notera enfin, en ce qui concerne le droit à une rente, que la juridiction cantonale a retenu, à l'instar de l'Office de l'assurance-invalidité pour le canton de Vaud (décision du 14 octobre 2011), un taux d'invalidité de 5,2 % compte tenu d'une incapacité de travail de 15 % dans une activité adaptée. Sur ce point, les considérations de l'autorité cantonale ne prêtent pas le flanc à la critique. L'assurée ne peut donc prétendre une rente d'invalidité de l'assurance-accidents ( art. 18 al. 1 LAA ).</w:t>
      </w:r>
    </w:p>
    <w:p>
      <w:r>
        <w:rPr>
          <w:b/>
        </w:rPr>
        <w:t>E. 4</w:t>
      </w:r>
    </w:p>
    <w:p>
      <w:r>
        <w:t>Vu ce qui précède, le jugement attaqué n'est pas critiquable et le recours se révèle mal fondé.</w:t>
      </w:r>
    </w:p>
    <w:p>
      <w:r>
        <w:rPr>
          <w:b/>
        </w:rPr>
        <w:t>E. 5</w:t>
      </w:r>
    </w:p>
    <w:p>
      <w:r>
        <w:t>La recourante, qui succombe, doit supporter les frais judiciaires ( art. 66 al. 1 LTF ). Cependant, elle a déposé pour la procédure fédérale une demande d'assistance judiciaire visant à la dispense des frais judiciaires et à la désignation d'un avocat d'office. Les conditions d'octroi étant réalisées ( art. 64 al. 1 et 2 LTF ), celle-ci lui est accordée. Son attention est toutefois attirée sur le fait qu'elle devra rembourser la caisse du tribunal si elle devient en mesure de le faire ultérieurement ( art. 64 al. 4 LTF ).</w:t>
      </w:r>
    </w:p>
    <w:p>
      <w:r>
        <w:t>Il convient de fixer le montant de l'indemnité allouée à l'avocat en tenant compte du fait que l'activité de celui-ci se recoupe en partie avec celle qu'il a déployée dans une affaire parallèle, qui a fait l'objet d'un arrêt de ce jour (cause 8C_308/2015) et pour laquelle la recourante est également mise au bénéfice de l'assistance judiciaire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