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8C_307/2013 vom 6. März 2014</w:t>
      </w:r>
    </w:p>
    <w:p>
      <w:r>
        <w:t>Bundesgericht, 2014-03-06, FR</w:t>
      </w:r>
    </w:p>
    <w:p>
      <w:r>
        <w:rPr>
          <w:b/>
        </w:rPr>
        <w:t xml:space="preserve">Quelle: </w:t>
      </w:r>
      <w:r>
        <w:t>https://mcp.opencaselaw.ch/entscheid/bger_8C_307_2013</w:t>
      </w:r>
    </w:p>
    <w:p>
      <w:r>
        <w:t>FR: TF 8C_307/2013 du 6 mars 2014</w:t>
      </w:r>
    </w:p>
    <w:p>
      <w:r>
        <w:t>IT: TF 8C_307/2013 del 6 marzo 2014</w:t>
      </w:r>
    </w:p>
    <w:p>
      <w:pPr>
        <w:pStyle w:val="Heading2"/>
      </w:pPr>
      <w:r>
        <w:t>Erwägungen</w:t>
      </w:r>
    </w:p>
    <w:p>
      <w:r>
        <w:rPr>
          <w:b/>
        </w:rPr>
        <w:t>E. 1.1</w:t>
      </w:r>
    </w:p>
    <w:p>
      <w:r>
        <w:t>Le recours en matière de droit public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 Partant, en raison de son caractère subsidiaire, le recours constitutionnel n'est pas recevable ( art. 113 LTF ).</w:t>
      </w:r>
    </w:p>
    <w:p>
      <w:r>
        <w:rPr>
          <w:b/>
        </w:rPr>
        <w:t>E. 1.2</w:t>
      </w:r>
    </w:p>
    <w:p>
      <w:r>
        <w:t>Dans la procédure de recours concernant des prestations en espèces de l'assurance-accidents, le Tribunal fédéral n'est pas lié par l'état de fait constaté par la juridiction précédente (cf. art. 97 al. 2 et 105 al. 3 LTF).</w:t>
      </w:r>
    </w:p>
    <w:p>
      <w:r>
        <w:rPr>
          <w:b/>
        </w:rPr>
        <w:t>E. 2.1</w:t>
      </w:r>
    </w:p>
    <w:p>
      <w:r>
        <w:t>Sur le plan formel, le recourant invoque une violation de son droit à un procès équitable au sens de l'art. 6 § 1 CEDH et de son droit d'être entendu consacré à l' art. 29 al. 2 Cst. Il reproche à la juridiction cantonale de n'avoir pas autorisé son mandataire à lui poser des questions lors de l'audience de débats publics du 4 mars 2013.</w:t>
      </w:r>
    </w:p>
    <w:p>
      <w:r>
        <w:rPr>
          <w:b/>
        </w:rPr>
        <w:t>E. 2.2</w:t>
      </w:r>
    </w:p>
    <w:p>
      <w:r>
        <w:t>La garantie constitutionnelle découlant de l' art. 29 al. 2 Cst. ne confère en principe pas le droit d'être entendu oralement ( ATF 134 I 140 consid. 5.3 p. 148). Par ailleurs, l'art. 6 § 1 CEDH garantit notamment à chacun le droit à ce que sa cause soit entendue publiquement. La publicité des débats implique le droit pour le justiciable de plaider sa cause lui-même ou par l'intermédiaire de son mandataire (arrêt 2C_349/2012 du 18 mars 2013 consid. 3.1 et la référence citée), ce que le recourant a obtenu en l'occurrence. Le grief soulevé n'est ainsi pas fondé.</w:t>
      </w:r>
    </w:p>
    <w:p>
      <w:r>
        <w:rPr>
          <w:b/>
        </w:rPr>
        <w:t>E. 3</w:t>
      </w:r>
    </w:p>
    <w:p>
      <w:r>
        <w:t>Sur le fond, le litige porte sur le droit du recourant, en raison d'une maladie professionnelle apparue au début de l'année 2005, au maintien de l'indemnité pour changement d'occupation au-delà du 31 octobre 2010. Il n'y a pas lieu de se prononcer sur le droit à d'autres prestations de l'assurance-accidents (en particulier le droit à des indemnités journalières) au sens des art. 16 ss LAA .</w:t>
      </w:r>
    </w:p>
    <w:p>
      <w:r>
        <w:rPr>
          <w:b/>
        </w:rPr>
        <w:t>E. 4.1</w:t>
      </w:r>
    </w:p>
    <w:p>
      <w:r>
        <w:t>A teneur de l' art. 84 al. 2 LAA , les organes d'exécution peuvent exclure d'un travail qui les mettrait en danger, les assurés particulièrement exposés aux accidents et maladies professionnels. Le Conseil fédéral règle la question des indemnités à verser aux assurés qui, par suite de leur exclusion de l'activité qu'ils exerçaient précédemment, subissent un préjudice considérable dans leur avancement et ne peuvent pas prétendre d'autres prestations d'assurance. Édicté sur la base de cette délégation législative, l'art. 86 al. 1 de l'ordonnance du 19 décembre 1983 sur la prévention des accidents et des maladies professionnelles (OPA; RS 832.30) prévoit que le travailleur qui a été définitivement ou temporairement exclu d'un travail ou qui a été déclaré apte à l'accomplir à certaines conditions reçoit de l'assureur une indemnité pour changement d'occupation: lorsque du fait de la décision et malgré des conseils personnels et le versement d'une indemnité journalière de transition, et compte tenu par ailleurs de l'effort que l'on peut raisonnablement attendre de lui pour qu'il compense le préjudice qu'il subit sur le marché du travail, ses possibilités de gain demeurent considérablement réduites (let. a); il a exercé, chez un employeur assujetti à l'assurance, l'activité dangereuse pendant au moins 300 jours au cours des deux années qui ont précédé immédiatement la notification de la décision ou le changement d'occupation effectivement survenu pour raisons médicales (let. b); il présente à l'assureur de l'employeur qui l'occupait au moment où la décision a été prise, une demande à cet effet dans une période de deux ans à compter du moment où la décision est passée en force ou de l'extinction du droit à une indemnité journalière de transition (let. c).</w:t>
      </w:r>
    </w:p>
    <w:p>
      <w:r>
        <w:rPr>
          <w:b/>
        </w:rPr>
        <w:t>E. 4.2</w:t>
      </w:r>
    </w:p>
    <w:p>
      <w:r>
        <w:t>On précisera qu'il doit exister un lien de causalité naturelle et adéquate entre la décision d'inaptitude et le préjudice dont l'assureur doit répondre. L'absence d'occupation doit être la conséquence de la décision d'exclusion (RAMA 1994 n° U 205 p. 320 consid. 3b; cf. arrêt 8C_1031/2008 du 29 avril 2009 consid. 6.2).</w:t>
      </w:r>
    </w:p>
    <w:p>
      <w:r>
        <w:rPr>
          <w:b/>
        </w:rPr>
        <w:t>E. 4.3</w:t>
      </w:r>
    </w:p>
    <w:p>
      <w:r>
        <w:t>De l'avis unanime des médecins, la maladie professionnelle dont souffre le recourant ne l'empêche pas de reprendre un travail adapté à 100 % dans une activité sans contact avec les allergènes connus (cf. en particulier le rapport du docteur I.________ du 16 avril 2010 ainsi que le rapport du Centre d'expertises médicales du 12 mai 2011). Comme l'a indiqué au demeurant lui-même le recourant dans son mémoire de recours devant la juridiction cantonale, l'absence d'une occupation professionnelle perdurant depuis le 15 octobre 2010 est à mettre en lien avec ses troubles dépressifs. Or, ainsi que l'ont relevé les premiers juges, il n'apparaît pas que les substances allergiques en cause soient de nature, selon le cours ordinaire des choses et l'expérience générale de la vie, à provoquer un état dépressif sévère accompagné de symptômes psychotiques. On doit ainsi admettre que ces troubles psychiques, si tant est qu'ils soient en relation de causalité naturelle avec la maladie professionnelle, ne sont pas en relation de causalité adéquate avec l'allergie professionnelle et la décision subséquente d'inaptitude (voir sur la causalité adéquate entre une affection psychique et une maladie professionnelle, ATF 125 V 456 consid. 5e p. 464; comp.</w:t>
      </w:r>
    </w:p>
    <w:p>
      <w:r>
        <w:t>a contrario avec RAMA 2002 n° U 468 p. 516: assuré qui avait subi de nombreux chocs anaphylactiques, soit une réaction allergique exacerbée, entraînant dans la plupart des cas de graves conséquences et pouvant engager le pronostic vital). La juridiction cantonale pouvait donc, sans violer le droit d'être entendu ni faire preuve d'arbitraire, s'abstenir de donner suite aux offres de preuves du recourant (audition de ce dernier, témoignages des médecins, expertise).</w:t>
      </w:r>
    </w:p>
    <w:p>
      <w:r>
        <w:rPr>
          <w:b/>
        </w:rPr>
        <w:t>E. 4.4</w:t>
      </w:r>
    </w:p>
    <w:p>
      <w:r>
        <w:t>Le jugement attaqué, qui confirme la suppression par la CNA de l'indemnité pour changement d'occupation n'est ainsi pas critiquable. Par ailleurs, ni la date de la suppression ni l'obligation de restituer en tant que telle ne sont contestées. Il n'y a dès lors pas lieu d'examiner ces questions. Demeure réservée une remise de l'obligation de restituer, comme l'a indiqué la CNA.</w:t>
      </w:r>
    </w:p>
    <w:p>
      <w:r>
        <w:rPr>
          <w:b/>
        </w:rPr>
        <w:t>E. 5</w:t>
      </w:r>
    </w:p>
    <w:p>
      <w:r>
        <w:t>Mal fondé, le recours doit être rejeté. Le recourant,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