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307/2010 vom 7. Juni 2010</w:t>
      </w:r>
    </w:p>
    <w:p>
      <w:r>
        <w:t>Bundesgericht, 2010-06-07, DE</w:t>
      </w:r>
    </w:p>
    <w:p>
      <w:r>
        <w:rPr>
          <w:b/>
        </w:rPr>
        <w:t xml:space="preserve">Quelle: </w:t>
      </w:r>
      <w:r>
        <w:t>https://mcp.opencaselaw.ch/entscheid/bger_8C_307_2010</w:t>
      </w:r>
    </w:p>
    <w:p>
      <w:r>
        <w:t>FR: TF 8C 307/2010 du 7 juin 2010</w:t>
      </w:r>
    </w:p>
    <w:p>
      <w:r>
        <w:t>IT: TF 8C 307/2010 del 7 giugno 2010</w:t>
      </w:r>
    </w:p>
    <w:p>
      <w:pPr>
        <w:pStyle w:val="Heading2"/>
      </w:pPr>
      <w:r>
        <w:t>Regeste</w:t>
      </w:r>
    </w:p>
    <w:p>
      <w:r>
        <w:t>Invalidenversicherung | Invalidenversicherung</w:t>
      </w:r>
    </w:p>
    <w:p>
      <w:pPr>
        <w:pStyle w:val="Heading2"/>
      </w:pPr>
      <w:r>
        <w:t>Erwägungen</w:t>
      </w:r>
    </w:p>
    <w:p>
      <w:r>
        <w:rPr>
          <w:b/>
        </w:rPr>
        <w:t>E. 1</w:t>
      </w:r>
    </w:p>
    <w:p>
      <w:r>
        <w:t>Die Beschwerde des Versicherten vom 14. April 2010 richtet sich gegen den vorinstanzlichen Nichteintretensentscheid (Beschluss vom 10. März 2010). Das Bundesgericht hat daher zu prüfen, ob die Vorinstanz zu Recht auf die bei ihr erhobene Beschwerde nicht eingetreten ist, wogegen die materiellen, den Anspruch auf eine Invalidenrente betreffenden Gesichtspunkte hier unerörtert zu bleiben haben ( BGE 132 V 74 E. 1.1 S. 76, 117 V 121 E. 1 S. 122 f. mit Hinweisen).</w:t>
      </w:r>
    </w:p>
    <w:p>
      <w:r>
        <w:rPr>
          <w:b/>
        </w:rPr>
        <w:t>E. 2.1</w:t>
      </w:r>
    </w:p>
    <w:p>
      <w:r>
        <w:t>Das Sozialversicherungsgericht setzte dem Beschwerdeführer bzw. seiner Vertretung mit Verfügung vom 2. Februar 2010 eine Frist von 10 Tagen an, um dem Gericht die schriftliche Vollmacht einzureichen, ansonsten auf die Beschwerde nicht eingetreten werde. Nachdem die Vollmacht dem Gericht innerhalb der gesetzten Frist nicht eingereicht worden war, trat die Vorinstanz androhungsgemäss auf die Beschwerde nicht ein.</w:t>
      </w:r>
    </w:p>
    <w:p>
      <w:r>
        <w:rPr>
          <w:b/>
        </w:rPr>
        <w:t>E. 2.2</w:t>
      </w:r>
    </w:p>
    <w:p>
      <w:r>
        <w:t>In der Folge stellte sich jedoch heraus, dass der Beschwerdeführer bzw. seine Vertretung nach der Einforderung der Vollmacht durch die Vorinstanz rechtzeitig eine gültige Vollmacht ausgefertigt, diese indessen irrtümlicherweise an die Sozialversicherungsanstalt / IV-Stelle Zürich gesandt hatten, was durch die Auflage von Kopien der entsprechenden - zulässigerweise vor Bundesgericht eingereichten ( Art. 99 Abs. 1 BGG ) - Dokumente belegt worden ist. Damit hat als erwiesen zu gelten, dass innerhalb der mit Verfügung vom 2. Februar 2010 gesetzten Frist eine rechtsgültige Vollmacht - wenn auch an eine unzuständige Behörde, was jedoch nicht schadet, da eine Frist auch diesfalls als gewahrt gilt, wobei die unzuständige Behörde die Eingabe unverzüglich an die zuständige Amtsstelle weiterzuleiten hat (vgl. Art. 39 Abs. 2 ATSG ; BGE 121 I 93 E. 1c S. 95 f. und 120 V 413 E. 3a S. 415 mit weiteren Hinweisen; Urteile N. vom 20. Oktober 2008, 8C_596/2008 und D. vom 3. August 2001, U 179/01) - beigebracht worden war. Somit hatten der Beschwerdeführer bzw. seine Vertretung - wie auch das Sozialversicherungsgericht in seiner Vernehmlassung vom 19. Mai 2010 zutreffend darlegt - den ihnen gemäss Verfügung vom 2. Februar 2010 gemachten Auflagen im Wesentlichen Genüge getan, woran der infolge allfälliger Verletzung der Weiterleitungspflicht durch die Verwaltung unterbliebene Eingang der Vollmacht beim kantonalen Gericht nichts ändert. Somit ist der auf die angeblich fehlende Prozessvoraussetzung gestützte vorinstanzliche Nichteintretensentscheid nach den zutreffenden Feststellungen des Sozialversicherungsgerichts in der Vernehmlassung zu Unrecht ergangen. Dieser muss demzufolge aufgehoben und die Sache an die Vorinstanz zurückgewiesen werden, damit sie den Fall neu beurteile.</w:t>
      </w:r>
    </w:p>
    <w:p>
      <w:r>
        <w:rPr>
          <w:b/>
        </w:rPr>
        <w:t>E. 3</w:t>
      </w:r>
    </w:p>
    <w:p>
      <w:r>
        <w:t>Vor Bundesgericht werden keine Gerichtskosten erhoben ( Art. 66 Abs. 1 Satz 2 BGG ). Die Kostenfolgen des kantonalen Beschwerdeverfahrens wird die Vorinstanz im Rahmen ihres erneuten Entscheides entsprechend dem Ausgang des Prozesses zu regeln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