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306/2011 vom 20. Mai 2011</w:t>
      </w:r>
    </w:p>
    <w:p>
      <w:r>
        <w:t>Bundesgericht, 2011-05-20, DE</w:t>
      </w:r>
    </w:p>
    <w:p>
      <w:r>
        <w:rPr>
          <w:b/>
        </w:rPr>
        <w:t xml:space="preserve">Quelle: </w:t>
      </w:r>
      <w:r>
        <w:t>https://mcp.opencaselaw.ch/entscheid/bger_8C_306_2011</w:t>
      </w:r>
    </w:p>
    <w:p>
      <w:r>
        <w:t>FR: TF 8C 306/2011 du 20 mai 2011</w:t>
      </w:r>
    </w:p>
    <w:p>
      <w:r>
        <w:t>IT: TF 8C 306/2011 del 20 maggio 2011</w:t>
      </w:r>
    </w:p>
    <w:p>
      <w:pPr>
        <w:pStyle w:val="Heading2"/>
      </w:pPr>
      <w:r>
        <w:t>Regeste</w:t>
      </w:r>
    </w:p>
    <w:p>
      <w:r>
        <w:t>Unfallversicherung | Unfallversicherung</w:t>
      </w:r>
    </w:p>
    <w:p>
      <w:pPr>
        <w:pStyle w:val="Heading2"/>
      </w:pPr>
      <w:r>
        <w:t>Erwägungen</w:t>
      </w:r>
    </w:p>
    <w:p>
      <w:r>
        <w:rPr>
          <w:b/>
        </w:rPr>
        <w:t>E. 1</w:t>
      </w:r>
    </w:p>
    <w:p>
      <w:r>
        <w:t>Das Bundesgericht überprüft von Amtes wegen und mit freier Kognition, ob ein Rechtsmittel zulässig ist ( BGE 135 III 329 E. 1 S. 331 und 134 III 115 E. 1 S. 117 sowie 379 E. 1 S. 381).</w:t>
      </w:r>
    </w:p>
    <w:p>
      <w:r>
        <w:rPr>
          <w:b/>
        </w:rPr>
        <w:t>E. 2</w:t>
      </w:r>
    </w:p>
    <w:p>
      <w:r>
        <w:t>Beim (materiell nicht angefochtenen) vorinstanzlichen Rückweisungsentscheid handelt es sich um einen Zwischenentscheid im Sinne von Art. 93 BGG ( BGE 133 V 477 E. 4.2 S. 481 f.). Solche (selbständig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wobei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s.a. 8C_827/2010 vom 12. Novem-ber 2010 und 9C_720/2009 vom 29. September 2009). Die in einem Rückweisungsentscheid getroffene Regelung der Kosten- und Entschädigungsfolge kann später durchaus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Urteile 8C_827/2010 vom 12. November 2010 und 9C_720/2009 vom 29. September 2009 E. 1 sowie 9C_567/2008 vom 30. Oktober 2008 E. 4.2 mit Literaturhinweis).</w:t>
      </w:r>
    </w:p>
    <w:p>
      <w:r>
        <w:rPr>
          <w:b/>
        </w:rPr>
        <w:t>E. 3</w:t>
      </w:r>
    </w:p>
    <w:p>
      <w:r>
        <w:t>Auf die im Sinne von Art. 108 Abs. 1 lit. a und b BGG offensichtlich unzulässige Beschwerde ist daher im vereinfachten Verfahren und ohne Durchführung eines Schriftenwechsels ( Art. 102 Abs. 1 BGG ) nicht einzutreten. Das Gesuch um unentgeltliche Rechtspflege ist wegen Aussichtslosigkeit der Rechtsvorkehr abzuweisen ( Art. 64 Abs. 1 und 2 BGG ), womit der Beschwerdeführer nach Art. 66 Abs. 1 BGG kostenpflichtig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