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8C_306/2010 vom 25. Februar 2011</w:t>
      </w:r>
    </w:p>
    <w:p>
      <w:r>
        <w:t>Bundesgericht, 2011-02-25, FR</w:t>
      </w:r>
    </w:p>
    <w:p>
      <w:r>
        <w:rPr>
          <w:b/>
        </w:rPr>
        <w:t xml:space="preserve">Quelle: </w:t>
      </w:r>
      <w:r>
        <w:t>https://mcp.opencaselaw.ch/entscheid/bger_8C_306_2010</w:t>
      </w:r>
    </w:p>
    <w:p>
      <w:r>
        <w:t>FR: TF 8C_306/2010 du 25 février 2011</w:t>
      </w:r>
    </w:p>
    <w:p>
      <w:r>
        <w:t>IT: TF 8C_306/2010 del 25 febbraio 2011</w:t>
      </w:r>
    </w:p>
    <w:p>
      <w:pPr>
        <w:pStyle w:val="Heading2"/>
      </w:pPr>
      <w:r>
        <w:t>Erwägungen</w:t>
      </w:r>
    </w:p>
    <w:p>
      <w:r>
        <w:rPr>
          <w:b/>
        </w:rPr>
        <w:t>E. 1</w:t>
      </w:r>
    </w:p>
    <w:p>
      <w:r>
        <w:t>Le litige porte sur le droit à la rente du recourant, singulièrement sur le taux d'invalidité qu'il présente. Dans la procédure de recours concernant une prestation en espèces de l'assurance-accidents, le Tribunal fédéral n'est pas lié par l'état de fait constaté par la juridiction précédente (cf. art. 97 al. 2 et 105 al. 3 LTF).</w:t>
      </w:r>
    </w:p>
    <w:p>
      <w:r>
        <w:rPr>
          <w:b/>
        </w:rPr>
        <w:t>E. 2</w:t>
      </w:r>
    </w:p>
    <w:p>
      <w:r>
        <w:t>Les premiers juges exposent correctement les dispositions légales et les principes jurisprudentiels applicables au cas. Il suffit de renvoyer à leurs considérants.</w:t>
      </w:r>
    </w:p>
    <w:p>
      <w:r>
        <w:rPr>
          <w:b/>
        </w:rPr>
        <w:t>E. 3</w:t>
      </w:r>
    </w:p>
    <w:p>
      <w:r>
        <w:t>Dans sa décision sur opposition, la CNA a retenu que les plaintes de l'assuré n'étaient pas «entièrement objectivables» et qu'il présentait une affection d'origine psychique sous la forme d'un trouble de l'adaptation avec humeur dépressive. Elle a admis l'existence d'un lien de causalité naturelle entre ce trouble psychique et l'accident. Elle a, en revanche, nié le caractère adéquat du trouble au regard des critères consacrés par la jurisprudence en présence d'un accident de gravité moyenne comme celui dont avait été victime B.________ (cf. ATF 115 V 133 consid. 6 p. 138 ss et 403 consid. 5 p. 407 ss). Toujours selon la CNA, l'assuré ne pouvait donc prétendre à être indemnisé que pour les seules séquelles organiques de l'accident. A cet égard, les docteurs M.________ et T.________ avaient considéré qu'une activité adaptée permettant d'alterner les positions assise/debout et d'étendre le membre inférieur gauche était exigible à plein temps. Il en résultait un taux d'incapacité de gain de 13 %.</w:t>
      </w:r>
    </w:p>
    <w:p>
      <w:r>
        <w:t>La juridiction cantonale a confirmé ce point de vue.</w:t>
      </w:r>
    </w:p>
    <w:p>
      <w:r>
        <w:rPr>
          <w:b/>
        </w:rPr>
        <w:t>E. 4</w:t>
      </w:r>
    </w:p>
    <w:p>
      <w:r>
        <w:t>Le recourant conteste l'évaluation de sa capacité de travail. Il soutient qu'il n'est pas apte à travailler à un taux supérieur à 50 % car il présente toujours des douleurs et son pied gonfle après quelques heures d'activité. D'ailleurs, jusqu'à la décision litigieuse, tous les médecins avaient attesté une incapacité de travail de 50 %. Le docteur M.________ n'avait apporté aucun argument médical nouveau pour justifier une appréciation différente de la situation et son opinion était manifestement contradictoire à celle exprimée par le corps médical auparavant. La question de sa capacité de travail résiduelle méritait à tout le moins des éclaircissements supplémentaires, ce d'autant qu'il n'avait jamais fait l'objet d'une véritable expertise afin de déterminer de manière précise quelles étaient les conséquences de ses blessures. Enfin, le recourant fait valoir que l'accident qu'il a subi doit être classé à la limite supérieure des accidents de gravité moyenne et qu'il réunit suffisamment de critères déterminants pour que l'existence d'un rapport de causalité adéquate soit admis.</w:t>
      </w:r>
    </w:p>
    <w:p>
      <w:r>
        <w:rPr>
          <w:b/>
        </w:rPr>
        <w:t>E. 5</w:t>
      </w:r>
    </w:p>
    <w:p>
      <w:r>
        <w:t>A titre préalable, il y a lieu de rappeler qu'aux termes de l' art. 99 al. 1 LTF , aucun fait nouveau ni preuve nouvelle ne peut être présenté à l'appui d'un recours en matière de droit public au Tribunal fédéral à moins de résulter de la décision de l'autorité précédente (voir également ATF 135 V 194 ). Les documents médicaux (datés des 21 avril, 18 juin, 21 octobre et 2 novembre 2010) produits par le recourant en annexe de son recours ne peuvent donc être pris en considération.</w:t>
      </w:r>
    </w:p>
    <w:p>
      <w:r>
        <w:rPr>
          <w:b/>
        </w:rPr>
        <w:t>E. 6</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7.1</w:t>
      </w:r>
    </w:p>
    <w:p>
      <w:r>
        <w:t>En l'occurrence, on doit constater que la juridiction cantonale n'a pas procédé à une appréciation complète des preuves médicales à sa disposition. Dans l'arrêt attaqué, elle s'est fondée sur l'évaluation des médecins de la CNA, en écartant les avis des médecins traitants A.________ et G.________ (des 20 août 2008 et 26 octobre 2009), mais n'a pas mentionné ni discuté le rapport des docteurs U.________ et E.________ (du 26 mai 2008), qui retiennent un syndrome douloureux complexe neuropathique. Or, il ne saurait être fait purement et simplement abstraction d'un diagnostic médical posé par des médecins spécialistes à l'issue d'un suivi thérapeutique de plus d'une année (de mars 2007 à mai 2008).</w:t>
      </w:r>
    </w:p>
    <w:p>
      <w:r>
        <w:rPr>
          <w:b/>
        </w:rPr>
        <w:t>E. 7.2</w:t>
      </w:r>
    </w:p>
    <w:p>
      <w:r>
        <w:t>Pour le docteur T.________, de la CNA, l'assuré ne présente aucun problème neurologique et les médecins de la consultation de la douleur auraient effectué un diagnostic erroné. D'une part, les examens pratiqués à la Clinique W.________ n'avaient pas mis en évidence de signe d'atteinte neurogène dans le membre inférieur gauche. D'autre part, l'absence de résultat des traitements prodigués à B.________ - lesquels étaient pourtant reconnus pour être efficaces dans les cas de neuropathie - démontrait que les douleurs dont celui-ci se plaignait n'avaient pas une origine neurologique. Sans dénier toute valeur à ces arguments médicaux, on peut tout de même observer que les docteurs U.________ et E.________ ont confirmé leur diagnostic après avoir constaté l'inefficacité des traitements entrepris et qu'ils n'ont à aucun moment évoqué l'éventualité d'une problématique purement psychique chez l'assuré comme l'a retenu l'intimée. On se trouve, en définitive, devant de deux avis médicaux qui s'opposent dans un domaine où la Cour de céans ne possède pas les connaissances spéciales nécessaires pour les départager. A cela s'ajoute que l'examen psychiatrique du recourant remonte à 2006 et que le psychiatre avait nié l'existence d'une affection psychiatrique significative ainsi que d'une incapacité de travail pour des motifs psychiques, retenant uniquement un trouble de l'adaptation «sur la base d'un abaissement modéré de l'humeur» (voir le consilium du docteur H.________ du 13 mars 2006), ce qui ne donne pas une explication satisfaisante à la symptomatologie du recourant.</w:t>
      </w:r>
    </w:p>
    <w:p>
      <w:r>
        <w:rPr>
          <w:b/>
        </w:rPr>
        <w:t>E. 7.3</w:t>
      </w:r>
    </w:p>
    <w:p>
      <w:r>
        <w:t>Dans ces circonstances, il subsiste des doutes suffisants sur la nature et l'origine des plaintes de B.________ pour qu'une instruction complémentaire au sens de la jurisprudence précitée (cf. consid. 6 supra) s'impose. Elle prendra la forme d'une expertise pluridisciplinaire associant les compétences d'un neurologue et d'un psychiatre, dès lors qu'il s'agit de vérifier l'éventualité d'une atteinte neurologique, respectivement d'un syndrome douloureux neuropathique, ou d'une affection de nature psychique. Les experts se prononceront également sur le lien de causalité naturelle des troubles qu'ils auront constatés ainsi que sur la capacité de travail résiduelle du recourant. La conclusion subsidiaire du recours se révèle ainsi bien fondée et la cause sera renvoyée à la CNA afin qu'elle mette en oeuvre une telle expertise.</w:t>
      </w:r>
    </w:p>
    <w:p>
      <w:r>
        <w:rPr>
          <w:b/>
        </w:rPr>
        <w:t>E. 8</w:t>
      </w:r>
    </w:p>
    <w:p>
      <w:r>
        <w:t>Vu l'issue de la procédure, les frais judiciaires seront mis à charge de l'intimée ( art. 66 al. 1 LTF ). Celle-ci versera également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