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8C_304/2017 vom 29. Juni 2017</w:t>
      </w:r>
    </w:p>
    <w:p>
      <w:r>
        <w:t>Bundesgericht, 2017-06-29, FR</w:t>
      </w:r>
    </w:p>
    <w:p>
      <w:r>
        <w:rPr>
          <w:b/>
        </w:rPr>
        <w:t xml:space="preserve">Quelle: </w:t>
      </w:r>
      <w:r>
        <w:t>https://mcp.opencaselaw.ch/entscheid/bger_8C_304_2017</w:t>
      </w:r>
    </w:p>
    <w:p>
      <w:r>
        <w:t>FR: TF 8C_304/2017 du 29 juin 2017</w:t>
      </w:r>
    </w:p>
    <w:p>
      <w:r>
        <w:t>IT: TF 8C_304/2017 del 29 giugno 2017</w:t>
      </w:r>
    </w:p>
    <w:p>
      <w:pPr>
        <w:pStyle w:val="Heading2"/>
      </w:pPr>
      <w:r>
        <w:t>Erwägungen</w:t>
      </w:r>
    </w:p>
    <w:p>
      <w:r>
        <w:rPr>
          <w:b/>
        </w:rPr>
        <w:t>E. 1</w:t>
      </w:r>
    </w:p>
    <w:p>
      <w:r>
        <w:t>Par décision du 27 janvier 2016, confirmée sur réclamation le 3 juin 2016, la Commission sociale de la Ville de Fribourg a réduit de 15 % le forfait mensuel d'entretien dont bénéficient les époux A.A.________ et B.A.________ du 1er décembre 2015 au 30 avril 2016, au motif que le mari avait refusé de suivre une mesure de réinsertion sociale sans excuse médicale valable. La commission a également décidé de déduire de l'aide financière accordée un montant supplémentaire de 400 fr. par mois à partir du 1er février 2016 parce que les époux A.A.________ et B.A.________ refusaient de déposer les plaques de leur véhicule automobile privé.</w:t>
      </w:r>
    </w:p>
    <w:p>
      <w:r>
        <w:rPr>
          <w:b/>
        </w:rPr>
        <w:t>E. 2</w:t>
      </w:r>
    </w:p>
    <w:p>
      <w:r>
        <w:t>Par jugement du 23 mars 2017, la Cour des assurances sociales du Tribunal cantonal fribourgeois a rejeté le recours formé par les époux A.A.________ et B.A.________ contre la décision du 3 juin 2016.</w:t>
      </w:r>
    </w:p>
    <w:p>
      <w:r>
        <w:rPr>
          <w:b/>
        </w:rPr>
        <w:t>E. 3</w:t>
      </w:r>
    </w:p>
    <w:p>
      <w:r>
        <w:t>Les époux A.A.________ et B.A.________ interjettent un recours contre ce jugement.</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w:t>
      </w:r>
    </w:p>
    <w:p>
      <w:r>
        <w:rPr>
          <w:b/>
        </w:rPr>
        <w:t>E. 6</w:t>
      </w:r>
    </w:p>
    <w:p>
      <w:r>
        <w:t>Le jugement attaqué repose sur la loi [du canton de Fribourg] sur l'aide sociale du 14 novembre 1991 (LASoc; RSF 831.0.1), ainsi que sur l'ordonnance fixant les normes de calcul de l'aide matérielle de la loi sur l'aide sociale du 2 mai 2006 (RSF 831.0.12).</w:t>
      </w:r>
    </w:p>
    <w:p>
      <w:r>
        <w:rPr>
          <w:b/>
        </w:rPr>
        <w:t>E. 7</w:t>
      </w:r>
    </w:p>
    <w:p>
      <w:r>
        <w:t>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8</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9</w:t>
      </w:r>
    </w:p>
    <w:p>
      <w:r>
        <w:t>En l'espèce, dans leurs écritures, les recourants se bornent à répéter les mêmes arguments qu'ils ont fait valoir en instance cantonale, à savoir que le mari, B.A.________, souffre du dos et a des problèmes respiratoires, que le prénommé a fourni un certificat médical du docteur C.________ attestant une incapacité de travail de 100 %, et qu'ils ont besoin d'une voiture pour faire les courses pour toute la famille.</w:t>
      </w:r>
    </w:p>
    <w:p>
      <w:r>
        <w:t>Ce faisant, ils ne prennent toutefois pas position sur les motifs qui ont conduit la juridiction cantonale à considérer que les documents produits ne permettaient pas d'établir que la participation du mari à la mesure de réinsertion était médicalement contre-indiquée, ce d'autant que cette mesure avait été organisée en connaissance de ses problèmes de santé. Il en va de même par rapport à l'argumentation cantonale retenant que leur situation ne leur donne pas droit à la prise en charge des frais d'un véhicule privé. De plus, les recourants n'invoquent aucune garantie de droit constitutionnel.</w:t>
      </w:r>
    </w:p>
    <w:p>
      <w:r>
        <w:t>Partant, le recours ne répond pas aux exigences des art. 42 al. 1 et 2 et 106 al. 2 LTF, et doit être déclaré irrecevable.</w:t>
      </w:r>
    </w:p>
    <w:p>
      <w:r>
        <w:rPr>
          <w:b/>
        </w:rPr>
        <w:t>E. 10</w:t>
      </w:r>
    </w:p>
    <w:p>
      <w:r>
        <w:t>Au regard des circonstances, on peut exceptionnellement renoncer à la perception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