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8C_302/2025 vom 9. Oktober 2025</w:t>
      </w:r>
    </w:p>
    <w:p>
      <w:r>
        <w:t>Bundesgericht, 2025-10-09, DE</w:t>
      </w:r>
    </w:p>
    <w:p>
      <w:r>
        <w:rPr>
          <w:b/>
        </w:rPr>
        <w:t xml:space="preserve">Quelle: </w:t>
      </w:r>
      <w:r>
        <w:t>https://mcp.opencaselaw.ch/entscheid/bger_8C_302_2025</w:t>
      </w:r>
    </w:p>
    <w:p>
      <w:r>
        <w:t>FR: TF 8C_302/2025 du 9 octobre 2025</w:t>
      </w:r>
    </w:p>
    <w:p>
      <w:r>
        <w:t>IT: TF 8C_302/2025 del 9 ottobre 2025</w:t>
      </w:r>
    </w:p>
    <w:p>
      <w:pPr>
        <w:pStyle w:val="Heading2"/>
      </w:pPr>
      <w:r>
        <w:t>Erwägungen</w:t>
      </w:r>
    </w:p>
    <w:p>
      <w:r>
        <w:rPr>
          <w:b/>
        </w:rPr>
        <w:t>E. 1.1</w:t>
      </w:r>
    </w:p>
    <w:p>
      <w:r>
        <w:t>Das Bundesgericht prüft seine Zuständigkeit und die weiteren Eintretensvoraussetzungen von Amtes wegen und mit freier Kognition ( Art. 29 Abs. 1 BGG ; BGE 145 II 168 E. 1; 144 V 280 E. 1). Dies ändert indessen nichts daran, dass der Beschwerdeführer nach Art. 42 Abs. 1 BGG gehalten ist, die Erfüllung der Eintretensvoraussetzungen darzutun, wenn diese nicht offensichtlich gegeben sind (vgl. BGE 141 IV 289 E. 1.3 mit weiteren Hinweisen; Urteil 9C_366/2021 vom 3. Januar 2022 E. 1.1).</w:t>
      </w:r>
    </w:p>
    <w:p>
      <w:r>
        <w:rPr>
          <w:b/>
        </w:rPr>
        <w:t>E. 1.2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w:t>
      </w:r>
    </w:p>
    <w:p>
      <w:r>
        <w:t>Bei Entscheiden, mit welchen ein kantonales Gericht die Sache zu neuem Entscheid an die Verwaltung zurückweist (Rückweisungsentscheide), sind folgende Konstellationen zu unterscheiden: Dient die Rückweisung einzig noch der Umsetzung des vom kantonalen Gericht Angeordneten und verbleibt dem Versicherungsträger somit kein Entscheidungsspielraum mehr, handelt es sich materiell nicht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mit Hinweisen; vgl. auch Urteil 9C_467/2024vom 20. Januar 2025 E. 1).</w:t>
      </w:r>
    </w:p>
    <w:p>
      <w:r>
        <w:rPr>
          <w:b/>
        </w:rPr>
        <w:t>E. 1.4</w:t>
      </w:r>
    </w:p>
    <w:p>
      <w:r>
        <w:t>Im angefochtenen Urteil hat das kantonale Gericht die Sache an die Beschwerdegegnerin zurückgewiesen mit der Vorgabe, die Rentenhöhe ausgehend von einem Eintritt des Versicherungsfalls im Jahre 2014 neu zu berechnen. Damit verbleibt der Verwaltung kein relevanter Ermessensspielraum mehr; die Rückweisung dient einzig noch der rechnerischen Umsetzung des vom kantonalen Gericht Angeordneten. Damit ist das angefochtene Urteil als Endentscheid im Sinne von Art. 90 BGG zu betrachten, gegen den die Beschwerde ohne Weiteres zulässig ist.</w:t>
      </w:r>
    </w:p>
    <w:p>
      <w:r>
        <w:rPr>
          <w:b/>
        </w:rPr>
        <w:t>E. 1.5</w:t>
      </w:r>
    </w:p>
    <w:p>
      <w:r>
        <w:t>Da die übrigen Sachurteilsvoraussetzungen zu keinen Bemerkungen Anlass geben,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2.2</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(Urteile 9C_9/2021 vom 3. Mai 2021 E. 1.2 und 2C_445/2019 vom 7. August 2019 E. 1.2). Inwiefern die vorinstanzliche Beweiswürdigung bzw. die Sachverhaltsfeststellung offensichtlich unhaltbar ist, muss in der Beschwerdeschrift klar und detailliert aufgezeigt werden ( BGE 144 V 50 E. 4.2 mit Hinweisen; 134 II 244 E. 2.2 ; 130 I 258 E. 1.3); es gilt diesbezüglich eine qualifizierte Begründungspflicht ( Art. 106 Abs. 2 BGG ; vgl. BGE 133 II 249 E. 1.4.3). Namentlich genügt es nicht, lediglich einzelne Indizien anzuführen, die anders als im angefochtenen Entscheid hätten gewichtet werden können, und dem Bundesgericht in appellatorischer Kritik diesbezüglich ohne Verfassungsbezug bloss die eigene Auffassung zu unterbreiten (vgl. BGE 116 Ia 85 E. 2b).</w:t>
      </w:r>
    </w:p>
    <w:p>
      <w:r>
        <w:rPr>
          <w:b/>
        </w:rPr>
        <w:t>E. 3</w:t>
      </w:r>
    </w:p>
    <w:p>
      <w:r>
        <w:t>Streitig und zu prüfen ist, ob das kantonale Gericht Bundesrecht verletzte, als es der Beschwerdeführerin für die Zeit ab Oktober 2016 keine höhere als eine Dreiviertelsrente der Invalidenversicherung zusprach.</w:t>
      </w:r>
    </w:p>
    <w:p>
      <w:r>
        <w:rPr>
          <w:b/>
        </w:rPr>
        <w:t>E. 4.1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4.2</w:t>
      </w:r>
    </w:p>
    <w:p>
      <w:r>
        <w:t>Für die Ermittlung des Einkommens, welches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w:t>
      </w:r>
    </w:p>
    <w:p>
      <w:r>
        <w:rPr>
          <w:b/>
        </w:rPr>
        <w:t>E. 5.1</w:t>
      </w:r>
    </w:p>
    <w:p>
      <w:r>
        <w:t>Letztinstanzlich unbestritten geblieben ist, dass die Beschwerdeführerin ab dem Jahre 2016 in der Lage war, ein Invalideneinkommen in der Höhe von Fr. 24'561.- zu erzielen. Streitig ist demgegenüber die Höhe des Valideneinkommens: Die Vorinstanz errechnete ein solches von Fr. 64'347.-, wobei sie davon ausging, dass die Beschwerdeführerin im Gesundheitsfall die Tätigkeit als medizinische Masseurin oder eine vergleichbare Tätigkeit im Gesundheitsbereich ausgeübt hätte. Sie selber macht demgegenüber beschwerdeweise geltend, das Valideneinkommen sei ausgehend von ihrer zuletzt ausgeübten Tätigkeit im väterlichen Treuhandbüro zu bestimmen und betrage deshalb für das Jahr 2016 Fr. 80'605.-.</w:t>
      </w:r>
    </w:p>
    <w:p>
      <w:r>
        <w:rPr>
          <w:b/>
        </w:rPr>
        <w:t>E. 5.2</w:t>
      </w:r>
    </w:p>
    <w:p>
      <w:r>
        <w:t>Das kantonale Gericht hat gestützt auf eine umfassende Würdigung der gesamten Indizienlage für das Bundesgericht grundsätzlich verbindlich festgestellt, dass die Anstellung der Beschwerdeführerin im Treuhandbüro ihres Vaters nicht ihren Fähigkeiten entsprach, sondern sie dort trotz ihrer damaligen Heroinabhängigkeit aus Kulanz und zur Vermeidung einer Sozialhilfeabhängigkeit angestellt war. Was die Beschwerdeführerin gegen diese Feststellung vorbringt, vermag sie nicht als willkürlich oder sonstwie bundesrechtswidrig erscheinen zu lassen. So hat die Vorinstanz die Angabe des Arbeitgebers, es handle sich beim ausbezahlten Lohn um einen Leistungslohn, nicht etwa übersehen, sondern in ihre Würdigung einbezogen. Sie durfte dabei aber auch berücksichtigen, dass es sich beim Arbeitgeber um den Vater der Beschwerdeführerin handelt und die übrigen Indizien klar gegen die Annahme eines Leistungslohns sprechen. Nicht vollständig nachvollziehbar ist, was sich aus den letztinstanzlich eingereichten Unterlagen zu den Löhnen anderer Angestellter dieses Treuhandbüros für die streitigen Belange ableiten lassen soll; eine offensichtlich unrichtige Sachverhaltsfeststellung durch die Vorinstanz wird damit jedenfalls nicht belegt. Somit kann auch offenbleiben, ob diese Unterlagen im vorliegenden Verfahren mit Blick auf das Novenverbot gemäss Art. 99 BGG überhaupt zu berücksichtigen wären.</w:t>
      </w:r>
    </w:p>
    <w:p>
      <w:r>
        <w:rPr>
          <w:b/>
        </w:rPr>
        <w:t>E. 5.3</w:t>
      </w:r>
    </w:p>
    <w:p>
      <w:r>
        <w:t>Zusammenfassend hat das kantonale Gericht kein Bundesrecht verletzt, als es feststellte, dass die Beschwerdeführerin im Gesundheitsfall überwiegend wahrscheinlich nicht im väterlichen Treuhandbüro, sondern als medizinische Masseurin arbeiten oder eine vergleichbare Tätigkeit im Gesundheitsbereich ausüben würde. Die übrigen Teile der Invaliditätsbemessung sind unbestritten geblieben, so dass die Beschwerde abzuweisen ist.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