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8C_302/2019 vom 22. August 2019</w:t>
      </w:r>
    </w:p>
    <w:p>
      <w:r>
        <w:t>Bundesgericht, 2019-08-22, DE</w:t>
      </w:r>
    </w:p>
    <w:p>
      <w:r>
        <w:rPr>
          <w:b/>
        </w:rPr>
        <w:t xml:space="preserve">Quelle: </w:t>
      </w:r>
      <w:r>
        <w:t>https://mcp.opencaselaw.ch/entscheid/bger_8C_302_2019</w:t>
      </w:r>
    </w:p>
    <w:p>
      <w:r>
        <w:t>FR: TF 8C_302/2019 du 22 août 2019</w:t>
      </w:r>
    </w:p>
    <w:p>
      <w:r>
        <w:t>IT: TF 8C_302/2019 del 22 agosto 2019</w:t>
      </w:r>
    </w:p>
    <w:p>
      <w:pPr>
        <w:pStyle w:val="Heading2"/>
      </w:pPr>
      <w:r>
        <w:t>Erwägungen</w:t>
      </w:r>
    </w:p>
    <w:p>
      <w:r>
        <w:rPr>
          <w:b/>
        </w:rPr>
        <w:t>E. 1</w:t>
      </w:r>
    </w:p>
    <w:p>
      <w:r>
        <w:t>Mit Beschwerde in öffentlich-rechtlichen Angelegenheiten kann u.a.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 Urteil 9C_582/2018 vom 18. Januar 2019 E. 1).</w:t>
      </w:r>
    </w:p>
    <w:p>
      <w:r>
        <w:rPr>
          <w:b/>
        </w:rPr>
        <w:t>E. 2</w:t>
      </w:r>
    </w:p>
    <w:p>
      <w:r>
        <w:t>Nicht mehr strittig ist vorliegend, dass ein Selbstverschulden vorliegt, indem die Versicherte kündigte, bevor ihr eine neue Anstellung zugesichert worden war, zumal nicht ausgewiesen ist, dass ihr die Weiterführung der bisherigen Tätigkeit bis zur Zusicherung einer neuen Stelle unzumutbar gewesen wäre. Streitig und zu prüfen ist hingegen, ob die Vorinstanz mit der Reduktion der im Einspracheentscheid festgesetzten Einstellungsdauer von 26 auf 13 Tage Bundesrecht verletzt hat.</w:t>
      </w:r>
    </w:p>
    <w:p>
      <w:r>
        <w:t>Die Arbeitslosenkasse wirft der Vorinstanz vor, sie habe ihr Ermessen rechtsfehlerhaft ausgeübt.</w:t>
      </w:r>
    </w:p>
    <w:p>
      <w:r>
        <w:rPr>
          <w:b/>
        </w:rPr>
        <w:t>E. 3.1</w:t>
      </w:r>
    </w:p>
    <w:p>
      <w:r>
        <w:t>Die Dauer der Einstellung in der Anspruchsberechtigung bemisst sich nach dem Grad des Verschuldens und beträgt je Einstellungsgrund höchstens 60 Tage ( Art. 30 Abs. 3 AVIG ). Der Bundesrat kann eine Mindestdauer der Einstellung vorschreiben ( Art. 30 Abs. 3bis AVIG ). Die Einstellung dauert nach Art. 45 Abs. 3 AVIV bei leichtem Verschulden ein bis 15 Tage (lit. a), bei mittelschwerem Verschulden 16 bis 30 Tage (lit. b) und bei schwerem Verschulden 31 bis 60 Tage (lit. c).</w:t>
      </w:r>
    </w:p>
    <w:p>
      <w:r>
        <w:rPr>
          <w:b/>
        </w:rPr>
        <w:t>E. 3.2</w:t>
      </w:r>
    </w:p>
    <w:p>
      <w:r>
        <w:t>Nach Art. 45 Abs. 4 lit. a AVIV ist die Aufgabe einer zumutbaren Arbeitsstelle ohne Zusicherung einer neuen Arbeitsstelle ohne entschuldbaren Grund in der Regel als schweres Verschulden zu qualifizieren und demnach mit einer Einstellungsdauer von 31 bis 60 Tagen zu sanktionieren. Liegen besondere Umstände im Einzelfall vor, kann dieser Rahmen unterschritten werden. Vorausgesetzt ist dabei ein entschuldbarer Grund, der das Verschulden nicht als schwer, sondern lediglich als mittelschwer oder leicht, erscheinen lässt. Dieser kann die subjektive Situation der betroffenen Person oder eine objektive Gegebenheit (z.B. Befristung der Stelle) beschlagen. Auch ist das Gesamtverhalten der versicherten Person mit einzubeziehen, wozu beispielsweise eine bereits vor der Kündigung begonnene Stellensuche zählen kann (vgl. Urteil 8C_522/2018 vom 25. Juni 2019 E. 4.4). Wenn ein solcher Grund vorliegt, ist Art. 45 Abs. 4 AVIV nicht anwendbar und die Einstellungsdauer bemisst sich nach der allgemeinen Regel des Art. 30 Abs. 3 Satz 3 AVIG ( BGE 130 V 125 E. 3.5 S. 131; THOMAS NUSSBAUMER, Arbeitslosenversicherung, in: Soziale Sicherheit, SBVR Bd. XIV, 3. Aufl. 2016, S. 2524, Rz. 863 f.). Damit wird auch dem Grundsatz der Verhältnismässigkeit Rechnung getragen (vgl. NUSSBAUMER, a.a.O., S. 2525 Rz.866; Urteile 8C_522/2018 vom 25. Juni 2019 E. 4.4; 8C_2/2012 vom 14. Juni 2012 E. 3.2).</w:t>
      </w:r>
    </w:p>
    <w:p>
      <w:r>
        <w:rPr>
          <w:b/>
        </w:rPr>
        <w:t>E. 3.3.1</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 BGE 137 V 71 E. 5.1 S. 72 f.; Urteil 8C_528/2018 vom 18. Januar 2019 E. 4.2 mit Hinweisen).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143 V 369 E. 5.4.1 S. 379).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Urteil 8C_556/2016 vom 23. November 2016 E. 4.1, in: ARV 2016 S. 308).</w:t>
      </w:r>
    </w:p>
    <w:p>
      <w:r>
        <w:rPr>
          <w:b/>
        </w:rPr>
        <w:t>E. 3.3.2</w:t>
      </w:r>
    </w:p>
    <w:p>
      <w:r>
        <w:t>Im Gegensatz zur Kognition des Bundesgerichts ist diejenige der Vorinstanz in diesem Zusammenhang nicht auf Rechtsverletzung beschränkt, sondern erstreckt sich auch auf die Beurteilung der Angemessenheit der Verwaltungsverfügung ( BGE 137 V 71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126 V 75 E. 6 S. 81; Urteil 8C_327/2018 vom 31. August 2018 E. 3.4).</w:t>
      </w:r>
    </w:p>
    <w:p>
      <w:r>
        <w:rPr>
          <w:b/>
        </w:rPr>
        <w:t>E. 4.1</w:t>
      </w:r>
    </w:p>
    <w:p>
      <w:r>
        <w:t>Zur Beurteilung des Verschuldens und der Einstellungsdauer erwog die Vorinstanz, dass die Beschwerdeführerin zu Recht die persönlichen Verhältnisse der Versicherten als Mutter zweier Kleinkinder mit medizinischen Beeinträchtigungen sowie die nicht idealen Arbeitsbedingungen an der aufgegebenen Stelle verschuldensmindernd gewertet habe. Hingegen habe die Beschwerdeführerin die Zwischenverdiensttätigkeit, die die Beschwerdegegnerin per 1. November 2017 bei der D.________ aufgenommen habe, im Rahmen des Verschuldens nicht berücksichtigt. Zwar sei der entsprechende Arbeitsvertrag erst am 13./14. November 2017 unterzeichnet worden. Als Vertrags- bzw. Arbeitsbeginn werde dort jedoch der 1. November 2017 genannt, und dieser ergebe sich auch aus der Bescheinigung über den Zwischenverdienst vom 5. Dezember 2017. Die Versicherte habe in dieser Tätigkeit ab November 2017 namhafte Zwischenverdienste erzielt und so zur Schadenminderung beigetragen, was bei der Bemessung der Einstellungsdauer zu berücksichtigen sei (Urteil C 351/05 vom 3. Juli 2006 E. 3.4; vgl. auch Urteil C 134/06 vom 19. September 2006 E. 3.2). Daher sei insgesamt von einem leichten Verschulden auszugehen (vgl. auch Urteil C 134/06 vom 19. September 2006 E. 3.2), so dass die Einstelltage von 26 auf 13 Tage zu reduzieren seien.</w:t>
      </w:r>
    </w:p>
    <w:p>
      <w:r>
        <w:rPr>
          <w:b/>
        </w:rPr>
        <w:t>E. 4.2</w:t>
      </w:r>
    </w:p>
    <w:p>
      <w:r>
        <w:t>Dass die Beschwerdegegnerin die Tätigkeit im Zwischenverdienst bereits am 1. November 2017, und damit unmittelbar anschliessend an das Ende des vorherigen Arbeitsvertrags, aufnehmen konnte, zeigt, dass sie sich noch während des laufenden Arbeitsverhältnisses um eine neue Anstellung bemüht hatte (wenn auch ihre Anstrengungen im Einzelnen nicht belegt sind). Immerhin hatte sie die Arbeitslosenkasse bereits im Fragebogen zur Beendigung des Arbeitsverhältnisses durch die Arbeitnehmerin (datiert vom 17. Oktober 2017, Posteingang 1. November 2017) auf den Zwischenverdienst hingewiesen. Dass die Vorinstanz das Verschulden der Versicherten vor diesem Hintergrund nurmehr als leicht bewertete, erweist sich nicht als bundesrechtswidrig. Da die Arbeitslosenkasse diese Umstände nicht berücksichtigt hatte, hatte die Vorinstanz entgegen der Auffassung der Beschwerdeführerin gleichzeitig einen triftigen Grund, in das Verwaltungsermessen einzugreifen. In der Herabsetzung der Einstellungsdauer von 26 auf 13 Tage liegt keine Ermessensüber- oder -unterschreitung, so dass kein Raum bleibt für eine letztinstanzliche Korrektur. Die Beschwerde ist abzuweisen.</w:t>
      </w:r>
    </w:p>
    <w:p>
      <w:r>
        <w:rPr>
          <w:b/>
        </w:rPr>
        <w:t>E. 5</w:t>
      </w:r>
    </w:p>
    <w:p>
      <w:r>
        <w:t>Die gemäss Art. 65 Abs. 4 lit. a BGG zu erhebenden Gerichtskosten werden dem Ausgang des Verfahrens entsprechend der Beschwerdeführerin auferlegt ( Art. 66 Abs.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