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302/2007 vom 4. August 2008</w:t>
      </w:r>
    </w:p>
    <w:p>
      <w:r>
        <w:t>Bundesgericht, 2008-08-04, IT</w:t>
      </w:r>
    </w:p>
    <w:p>
      <w:r>
        <w:rPr>
          <w:b/>
        </w:rPr>
        <w:t xml:space="preserve">Quelle: </w:t>
      </w:r>
      <w:r>
        <w:t>https://mcp.opencaselaw.ch/entscheid/bger_8C_302_2007</w:t>
      </w:r>
    </w:p>
    <w:p>
      <w:r>
        <w:t>FR: TF 8C 302/2007 du 4 août 2008</w:t>
      </w:r>
    </w:p>
    <w:p>
      <w:r>
        <w:t>IT: TF 8C 302/2007 del 4 agosto 2008</w:t>
      </w:r>
    </w:p>
    <w:p>
      <w:pPr>
        <w:pStyle w:val="Heading2"/>
      </w:pPr>
      <w:r>
        <w:t>Regeste</w:t>
      </w:r>
    </w:p>
    <w:p>
      <w:r>
        <w:t>Assicurazione contro gli infortuni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può essere presentato per violazione del diritto, conformemente a quanto stabilito dagli art. 95 e 96 LTF . Il Tribunale federale applica d'ufficio il diritto ( art. 106 cpv. 1 LTF ). Esso non è vincolato né dagli argomenti sollevati nel ricorso né dai motivi addotti dall'autorità inferiore; può dunque accogliere un ricorso per motivi diversi da quelli invocati dalla parte insorgente e respingerlo adottando un'argomentazione differente da quella esposta nel giudizio impugnato ( DTF 134 I 65 consid. 1.2 pag. 67).</w:t>
      </w:r>
    </w:p>
    <w:p>
      <w:r>
        <w:rPr>
          <w:b/>
        </w:rPr>
        <w:t>E. 2</w:t>
      </w:r>
    </w:p>
    <w:p>
      <w:r>
        <w:t>Dalla lettura del gravame cantonale si evince in concreto che le turbe lamentate dall'assicurato al polso sinistro sono da porre in relazione causale non già con l'infortunio del 7 gennaio 1983, ma con quello del 5 marzo 1991, che ha reso necessario l'uso di stampelle. Tale constatazione è confermata anche dalla relazione 28 febbraio 1992 del dott. L.________, esperto di medicina infortunistica e assicurativa, intervenuto all'epoca per conto dell'assicuratrice ricorrente. Ora, con decisione del 14 luglio 1995 la Zurigo aveva chiuso la pratica relativa all'evento del 5 marzo 1991, assegnando un'indennità per menomazione dell'integrità del 15%, che, contrariamente a quanto pretende l'assicurato, teneva pure conto della problematica al polso sinistro. Benché munito di regolare indicazione dei rimedi di diritto, il provvedimento è rimasto inimpugnato crescendo in tal modo in giudicato.</w:t>
      </w:r>
    </w:p>
    <w:p>
      <w:r>
        <w:rPr>
          <w:b/>
        </w:rPr>
        <w:t>E. 3</w:t>
      </w:r>
    </w:p>
    <w:p>
      <w:r>
        <w:t>A determinate condizioni le autorità amministrative possono riesaminare le proprie decisioni. Così, l' art. 53 cpv. 2 LPGA dispone che l'assicuratore può tornare sulle decisioni o sulle decisioni su opposizione formalmente passate in giudicato se è provato che erano manifestamente errate e se la loro rettifica ha una notevole importanza. Per costante giurisprudenza, valida anche dopo l'entrata in vigore, il 1° gennaio 2003, della LPGA, l'amministrazione non può essere obbligata a procedere a una riconsiderazione in questo senso né dall'amministrato né dal giudice ( DTF 133 V 50 consid. 4.1 pag. 52 con rinvii e riferimenti alla dottrina). Alla luce di quanto esposto, il giudizio querelato, che obbliga la Zurigo a emanare una decisione formale sulle domande formulate dall'assicurato, non può essere tutelato. Ne discende che, in accoglimento del gravame, la pronuncia stessa dev'essere annullata.</w:t>
      </w:r>
    </w:p>
    <w:p>
      <w:r>
        <w:rPr>
          <w:b/>
        </w:rPr>
        <w:t>E. 4</w:t>
      </w:r>
    </w:p>
    <w:p>
      <w:r>
        <w:t>Le spese giudiziarie, che seguono la soccombenza, devono essere poste a carico dell'opponente ( art. 65 e 66 cpv. 1 LTF ). Non possono per contro essere attribuite ripetibili alla Zurigo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