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8C_301/2025 vom 11. Juni 2025</w:t>
      </w:r>
    </w:p>
    <w:p>
      <w:r>
        <w:t>Bundesgericht, 2025-06-11, DE</w:t>
      </w:r>
    </w:p>
    <w:p>
      <w:r>
        <w:rPr>
          <w:b/>
        </w:rPr>
        <w:t xml:space="preserve">Quelle: </w:t>
      </w:r>
      <w:r>
        <w:t>https://mcp.opencaselaw.ch/entscheid/bger_8C_301_2025</w:t>
      </w:r>
    </w:p>
    <w:p>
      <w:r>
        <w:t>FR: TF 8C_301/2025 du 11 juin 2025</w:t>
      </w:r>
    </w:p>
    <w:p>
      <w:r>
        <w:t>IT: TF 8C_301/2025 del 11 giugno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desselben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Rechtsmittelfristen als gesetzliche Fristen sind nicht erstreckbar ( Art. 47 Abs. 1 BGG ). Innert dieser Fristen muss eine den oben aufgezeigten Begründungsanforderungen genügende Beschwerde eingereicht sein. Daran vermag ein Gesuch um Gewährung einer Frist zur Nachreichung weiterer "Beweismittel mit den jeweiligen Erklärungen" nichts zu ändern.</w:t>
      </w:r>
    </w:p>
    <w:p>
      <w:r>
        <w:rPr>
          <w:b/>
        </w:rPr>
        <w:t>E. 3</w:t>
      </w:r>
    </w:p>
    <w:p>
      <w:r>
        <w:t>Das kantonale Gericht bestätigte mit gemäss postamtlicher Bescheinigung am 9. April 2025 ausgehändigtem Urteil vom 22. Januar 2025 die Weigerung der Beschwerdegegnerin, die wegen unklarer Bedürftigkeit im Sinne von § 4b SHG/BL per 30. April 2023 eingestellte Unterstützung ab dem 15. Mai 2023 wieder zu gewähren.</w:t>
      </w:r>
    </w:p>
    <w:p>
      <w:r>
        <w:rPr>
          <w:b/>
        </w:rPr>
        <w:t>E. 4</w:t>
      </w:r>
    </w:p>
    <w:p>
      <w:r>
        <w:t>Was der Beschwerdeführer innerhalb der gemäss Art. 44-48 ATSG am 26. Mai 2025 abgelaufenen Rechtsmittelfrist dagegen vorträgt, vermag den eingangs aufgezeigten qualifizierten Begründungsanforderungen nicht zu genügen. Allein den Geschehensablauf aus eigener Sicht zu schildern und der Beschwerdegegnerin pauschal eine missbräuchliche Amtsführung vorzuwerfen, reicht nicht aus. Soweit der Beschwerdeführer im Übrigen sinngemäss den Vertrauensschutz nach Art. 9 BV anruft, indem er geltend macht, gemäss telefonischer Auskunft einer namentlich erwähnten Mitarbeiterin des Bundesgerichts sei es "möglich, eine Fristverlängerung zur Begründung inklusive den damit verbundenen Unterlagen zu beantragen", fehlt es am entsprechenden Beweis dafür. Allein den Zeitpunkt, die Dauer des Anrufs und die Gesprächspartnerin zu nennen, reicht nicht aus.</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