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301/2021 vom 23. Juni 2021</w:t>
      </w:r>
    </w:p>
    <w:p>
      <w:r>
        <w:t>Bundesgericht, 2021-06-23, DE</w:t>
      </w:r>
    </w:p>
    <w:p>
      <w:r>
        <w:rPr>
          <w:b/>
        </w:rPr>
        <w:t xml:space="preserve">Quelle: </w:t>
      </w:r>
      <w:r>
        <w:t>https://mcp.opencaselaw.ch/entscheid/bger_8C_301_2021</w:t>
      </w:r>
    </w:p>
    <w:p>
      <w:r>
        <w:t>FR: TF 8C 301/2021 du 23 juin 2021</w:t>
      </w:r>
    </w:p>
    <w:p>
      <w:r>
        <w:t>IT: TF 8C 301/2021 del 23 giugno 2021</w:t>
      </w:r>
    </w:p>
    <w:p>
      <w:pPr>
        <w:pStyle w:val="Heading2"/>
      </w:pPr>
      <w:r>
        <w:t>Regeste</w:t>
      </w:r>
    </w:p>
    <w:p>
      <w:r>
        <w:t>Unfallversicherung (Heilbehandlung; Taggeld;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Suva vom 27. März 2020 die Einstellung der Heilbehandlungen per 31. Juli 2019 sowie der Taggelder per 30. September 2019 schützte und einen Anspruch des Beschwerdeführers auf eine Invalidenrente verneinte.</w:t>
      </w:r>
    </w:p>
    <w:p>
      <w:r>
        <w:rPr>
          <w:b/>
        </w:rPr>
        <w:t>E. 2.2</w:t>
      </w:r>
    </w:p>
    <w:p>
      <w:r>
        <w:t>Die Integritätsentschädigung war bereits im Einspracheverfahren nicht mehr streitig, sodass diesbezüglich Teilrechtskraft eingetreten ist (vgl. dazu BGE 144 V 354 E. 4.3 mit Hinweisen).</w:t>
      </w:r>
    </w:p>
    <w:p>
      <w:r>
        <w:rPr>
          <w:b/>
        </w:rPr>
        <w:t>E. 3.1</w:t>
      </w:r>
    </w:p>
    <w:p>
      <w:r>
        <w:t>Die Vorinstanz hat die hier massgebenden rechtlichen Grundlagen betreffend die Voraussetzungen des Taggeld- ( Art. 16 Abs. 1 UVG ) und Rentenanspruchs ( Art. 18 Abs. 1 UVG ) sowie des Fallabschlusses mit gleichzeitiger Beurteilung des Anspruchs auf Invalidenrente und Integritätsentschädigung ( Art. 19 Abs. 1 UVG ; BGE 137 V 199 E. 2.1; 134 V 109 E. 4) richtig dargelegt. Gleiches gilt für die Bestimmungen und Grundsätze zur Ermittlung des Invaliditätsgrades nach der allgemeinen Methode des Einkommensvergleichs ( Art. 16 ATSG ). Darauf kann ebenso verwiesen werden wie auf die vorinstanzlich wiedergegebenen beweisrechtlichen Anforderungen an eine ärztliche Stellungnahme ( BGE 140 V 193 E. 3.2; 134 V 231 E. 5.1; 125 V 351 E. 3a; Urteil 9C_135/2021 vom 27. April 2021 E. 2.2; je mit Hinweisen).</w:t>
      </w:r>
    </w:p>
    <w:p>
      <w:r>
        <w:rPr>
          <w:b/>
        </w:rPr>
        <w:t>E. 3.2</w:t>
      </w:r>
    </w:p>
    <w:p>
      <w:r>
        <w:t>Hervorzuheben ist, dass der Unfallversicherer den Fall nach Gesetz und Rechtsprechung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144 V 354 E. 4.1; 134 V 109 E. 4).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Unbedeutende Verbesserungen genügen nicht. Diese Frage ist prospektiv zu beurteilen (RKUV 2005 Nr. U 557 S. 388, U 244/04 E. 3.1; vgl. auch Urteil 8C_102/2021 vom 26. März 2021 E. 6.1 mit Hinweisen).</w:t>
      </w:r>
    </w:p>
    <w:p>
      <w:r>
        <w:rPr>
          <w:b/>
        </w:rPr>
        <w:t>E. 4.1</w:t>
      </w:r>
    </w:p>
    <w:p>
      <w:r>
        <w:t>In Würdigung der Aktenlage ging das kantonale Gericht vom Vorliegen des medizinischen Endzustands aus und stellte fest, die Suva habe zu Recht die Heilbehandlungsleistungen per 31. Juli 2019 und die Ausrichtung von Taggeld (kulanterweise) per 30. September 2019 eingestellt. Ab dem Zeitpunkt des Fallabschlusses sei dem Beschwerdeführer eine angepasste leichte Tätigkeit ganztags zumutbar. Die Vorinstanz stützte sich dabei vorwiegend auf den kreisärztlichen Bericht der med. pract. B.________, Fachärztin für Anästhesiologie, zur Untersuchung vom 13. Juni 2019. Vom durch die Suva zur Ermittlung des Invaliditätsgrades vorgenommenen Einkommensvergleich wich das kantonale Gericht insofern ab, als es die Voraussetzungen für einen leidensbedingten Abzug verneinte.</w:t>
      </w:r>
    </w:p>
    <w:p>
      <w:r>
        <w:rPr>
          <w:b/>
        </w:rPr>
        <w:t>E. 4.2</w:t>
      </w:r>
    </w:p>
    <w:p>
      <w:r>
        <w:t>Der Beschwerdeführer macht demgegenüber im Wesentlichen geltend, die Vorinstanz habe eine unzulässige antizipierte Beweiswürdigung vorgenommen und damit den Untersuchungsgrundsatz verletzt. Zudem habe sie bei der Invaliditätsbemessung zu Unrecht einen Abzug von 20 % vom tabellarisch ermittelten Invalideneinkommen verweigert.</w:t>
      </w:r>
    </w:p>
    <w:p>
      <w:r>
        <w:rPr>
          <w:b/>
        </w:rPr>
        <w:t>E. 5.1</w:t>
      </w:r>
    </w:p>
    <w:p>
      <w:r>
        <w:t>Die Vorinstanz legte einlässlich und überzeugend dar, weshalb sie dem Bericht der med. pract. B.________ vom 14. Juni 2019, mit welchem die Kreisärztin ungeachtet der multimodalen Schmerztherapie vom Endzustand und einer vollen Arbeitsfähigkeit in angepassten Tätigkeiten ausging, vollen Beweiswert zuerkannte. So beruht die kreisärztliche Beurteilung auf eigenen Untersuchungen, ist unter Berücksichtigung der gesamten Aktenlage erfolgt und begründet nachvollziehbar und schlüssig das Zumutbarkeitsprofil sowie die Arbeitsfähigkeit.</w:t>
      </w:r>
    </w:p>
    <w:p>
      <w:r>
        <w:rPr>
          <w:b/>
        </w:rPr>
        <w:t>E. 5.2.1</w:t>
      </w:r>
    </w:p>
    <w:p>
      <w:r>
        <w:t>Betreffend den Fallabschluss bestreitet der Beschwerdeführer den Beweiswert der kreisärztlichen Stellungnahme der med. pract. B.________ vom 4. Juli 2019. Dabei scheint er zu übersehen, dass das kantonale Gericht in diesem Zusammenhang vorneweg auf den Bericht der Kreisärztin vom 14. Juni 2019 abstellte (E. 5.1 hievor), welcher aber durch die kreisärztliche Stellungnahme vom 4. Juli 2019 gestützt wurde. Mit seinen Einwendungen vermag der Beschwerdeführer jedoch weder auch nur geringe Zweifel am Bericht von med. pract. B.________ vom 14. Juni 2019 noch an deren Stellungnahme vom 4. Juli 2019 zu begründen. Im vorgebrachten Schreiben des Spitals C.________ vom 26. Juni 2019begründeten Dr. med. D.________ und Dr. med. univ. E________, beide Fachärzte für Rheumatologie, das Gesuch um Kostenübernahme für die multimodale Schmerztherapie mit verschiedenen Kriterien. Entgegen der Ansicht des Beschwerdeführers wird aus den Hervorhebungen bei der Aufzählung der Indikationskriterien allerdings deutlich, dass aus Sicht des Spital s C.________ nicht die Beeinträchtigung der Arbeitsfähigkeit, sondern jene der Lebensqualität im Vordergrund stand (vgl. E. 3.2 hievor). Nachdem med. pract. B.________ ebenfalls von einer möglichen Verbesserung der Lebensqualität ausging, stehen die Begründung des Gesuchs und die kreisärztliche Einschätzung vom 4. Juli 2019 somit nicht in einem Widerspruch. Nicht zu verfangen vermag damit ferner der Einwand des Beschwerdeführers, die Kreisärztin habe ihre Stellungnahme vom 4. Juli 2019 nicht begründet. Im Übrigen erklärte med. pract. B.________ das Erreichen des Endzustands unabhängig von der Durchführung der Schmerztherapie bereits im Bericht vom 14. Juni 2019 insoweit, als sich die Situation seit der letzten kreisärztlichen Untersuchung vom 7. März 2018 nicht gebessert habe.</w:t>
      </w:r>
    </w:p>
    <w:p>
      <w:r>
        <w:rPr>
          <w:b/>
        </w:rPr>
        <w:t>E. 5.2.2</w:t>
      </w:r>
    </w:p>
    <w:p>
      <w:r>
        <w:t>Auch im Zusammenhang mit der leidensangepassten Tätigkeit macht der Beschwerdeführer geltend, die Vorinstanz hätte nicht auf die Einschätzungen der med. pract. B.________ abstellen dürfen. Gemäss Bericht des Spitals C.________ vom 26. April 2019 habe er den Ärzten eine Hyposensibilität des gesamten Arms und eine verminderte Kraft mit der Unmöglichkeit, Gegenstände von mehr als 3 kg Gewicht länger zu heben, berichtet. Entgegen dem Beschwerdeführer qualifizierte das kantonale Gericht diese Schilderungen zu Recht als blosse von den Ärzten wiedergegebene Selbsteinschätzung des Beschwerdeführers. Ins Leere zielt diesbezüglich die Rüge, die Ärzte des Spitals C.________ hätten allfällige Zweifel an seinen Angaben in ihrem an die Suva gerichteten Bericht zum Ausdruck gebracht. Erfahrungsgemäss sagen behandelnde Ärzte bzw. Therapiekräfte im Hinblick auf ihre auftragsrechtliche Vertrauensstellung im Zweifelsfall mitunter eher zu Gunsten ihrer Patienten aus ( BGE 135 V 465 E. 4.5; Urteil 8C_744/2020 vom 8. März 2021 E. 4.2; je mit Hinweisen). Dies gilt für den allgemein praktizierenden Hausarzt wie für den behandelnden Spezialarzt und erst recht für den schmerztherapeutisch tätigen Arzt mit seinem besonderen Vertrauensverhältnis und dem Erfordernis, von den geklagten Schmerzen zunächst bedingungslos auszugehen (Urteil 9C_337/2017 vom 27. Oktober 2017 E. 3.3.6 mit Hinweis).</w:t>
      </w:r>
    </w:p>
    <w:p>
      <w:r>
        <w:rPr>
          <w:b/>
        </w:rPr>
        <w:t>E. 5.3</w:t>
      </w:r>
    </w:p>
    <w:p>
      <w:r>
        <w:t>Mit seinen Einwendungen vermag der Beschwerdeführer somit keine auch nur geringen Zweifel an der Zuverlässigkeit und Schlüssigkeit der versicherungsinternen ärztlichen Feststellungen der med. pract. B.________ vom 14. Juni 2019 und vom 4. Juli 2019 hervorzurufen (vgl. BGE 145 V 97 E. 8.5; 142 V 58 E. 5.1; 135 V 465 E. 4.4; Urteil 8C_700/2020 vom 11. Mai 2021 E. 2; je mit Hinweis). Nach dem Gesagten hat das kantonale Gericht zu Recht gestützt auf die kreisärztlichen Berichte der med. pract. B.________ die Einstellung der Heilbehandlungen per 31. Juli 2019 und der Taggelder per 30. September 2019 bestätigt. Ebenfalls nicht zu beanstanden ist, dass Verwaltung und Vorinstanz gestützt auf die kreisärztlichen Einschätzungen in Bezug auf eine leidensangepasste Tätigkeit von einer vollen Arbeitsfähigkeit ausgingen. Weil davon keine entscheidrelevanten Resultate zu erwarten waren, durfte die Vorinstanz bundesrechtskonform auf weitere medizinische Abklärungen verzichten. Ein Verstoss gegen den Untersuchungsgrundsatz ( Art. 61 lit. c ATSG ) ist darin nicht zu erblicken (antizipierte Beweiswürdigung; BGE 144 V 361 E. 6.5, 136 I 229 E. 5.3; Urteil 8C_658/2020 vom 14. Januar 2021 E. 7).</w:t>
      </w:r>
    </w:p>
    <w:p>
      <w:r>
        <w:rPr>
          <w:b/>
        </w:rPr>
        <w:t>E. 6.1</w:t>
      </w:r>
    </w:p>
    <w:p>
      <w:r>
        <w:t>In erwerblicher Hinsicht ist allein die Verneinung eines leidensbedingten Abzugs durch die Vorinstanz streitig.</w:t>
      </w:r>
    </w:p>
    <w:p>
      <w:r>
        <w:rPr>
          <w:b/>
        </w:rPr>
        <w:t>E. 6.2</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124 V 321 E. 3b/aa) und die versicherte Person je nach Ausprägung deswegen die verbliebene Arbeitsfähigkeit auch auf einem ausgeglichenen Arbeitsmarkt nur mit unterdurchschnittlichem erwerblichem Erfolg verwerten kann ( BGE 126 V 75 E. 5b/aa i.f.). Der Abzug soll aber nicht automatisch erfolgen. Er ist unter Würdigung der Umstände im Einzelfall nach pflichtgemässem Ermessen gesamthaft zu schätzen und darf 25 % nicht übersteigen ( BGE 135 V 297 E. 5.2; 134 V 322 E. 5.2; 126 V 75 E. 5b/bb-cc). Ob ein leidensbedingter Abzug vom Tabellenlohn vorzunehmen ist, stellt eine vom Bundesgericht frei überprüfbare Rechtsfrage dar ( BGE 146 V 16 E. 4.2 mit Hinweis).</w:t>
      </w:r>
    </w:p>
    <w:p>
      <w:r>
        <w:rPr>
          <w:b/>
        </w:rPr>
        <w:t>E. 6.3</w:t>
      </w:r>
    </w:p>
    <w:p>
      <w:r>
        <w:t>Mit Blick auf die dargelegten Grundsätze hat die Vorinstanz zu Recht keinen Abzug gewährt. Dass dem Beschwerdeführer nur noch leichte Tätigkeiten zumutbar sind, ist kein Grund für einen leidensbedingten Abzug, zumal der Tabellenlohn der von der Vorinstanz zugrunde gelegten Lohnstrukturerhebung (LSE) des Bundesamtes für Statistik (LSE 2016, Tabelle TA1, Privater Sektor, Total, Männer) auf dem Kompetenzniveau 1 bereits eine Vielzahl von leichten und mittelschweren Tätigkeiten umfasst (Urteil 8C_151/2020 vom 15. Juli 2020 E. 6.2 mit Hinweis). Die leidensbedingten Einschränkungen wurden mit dem Belastungsprofil bereits berücksichtigt und dürfen nicht nochmals - als abzugsrelevant - herangezogen werden (vgl. BGE 146 V 16 E. 4.1 mit Hinweis). Mit Blick auf diese Einschränkungen ist überdies davon auszugehen, dass dem Beschwerdeführer ein genügend breites Spektrum an realisierbaren Tätigkeiten offensteht. Das von ihm zusätzlich geltend gemachte Belastungsmaximum des linken Arms von 3 kg und die daraus abgeleitete faktische Einhändigkeit sind demgegenüber nicht erstellt (E. 5.2.2 hievor). Wie das kantonale Gericht zutreffend erkannte, handelt es sich dabei lediglich um eine gegenüber den Ärzten des Spitals C.________ abgegebene Selbsteinschätzung ohne jegliche medizinische Untermauerung. Ebenfalls nicht zu beanstanden ist, dass die Vorinstanz die vom Beschwerdeführer als abzugsrelevant angesehenen regelmässigen Arztkonsultationen und Physiotherapien ausser Acht liess. Mit Bericht vom 14. Juni 2019 empfahl med. pract B.________ drei Arztkonsultationen und vier bis fünf Physiotherapien jährlich, welche den Beschwerdeführer nicht derart zu beeinträchtigen vermögen, dass er deswegen die verbliebene Arbeitsfähigkeit auch auf einem ausgeglichenen Arbeitsmarkt nur mit unterdurchschnittlichem erwerblichem Erfolg verwerten könnte. Als aktenwidrig erweist sich sodann die Behauptung des Beschwerdeführers, Inhaber einer Aufenthaltsbewilligung B zu sein. Mit Blick auf seinen Aufenthaltsstatus ergibt sich, dass Männer mit Niederlassungsbewilligung C ohne Kaderfunktion zwar weniger als Schweizer verdienen (LSE 2016, Tabelle TA12), aber mehr als den für die Invaliditätsbemessung herangezogenen Zentralwert (LSE 2016, Tabelle TA1; vgl. Urteil 9C_702/2020 vom 1. Februar 2021 E. 6.3.2 mit Hinweis). Entgegen dem Beschwerdeführer vermögen die dargelegten Kriterien - soweit überhaupt zutreffend - auch gesamthaft keinen Abzug zu rechtfertigen. Andere Merkmale, welche einen Tabellenlohn rechtfertigen könnten, werden nicht geltend gemacht und sind auch nicht ersichtlich.</w:t>
      </w:r>
    </w:p>
    <w:p>
      <w:r>
        <w:rPr>
          <w:b/>
        </w:rPr>
        <w:t>E. 6.4</w:t>
      </w:r>
    </w:p>
    <w:p>
      <w:r>
        <w:t>Die Nichtgewährung eines leidensbedingten Abzugs vom statistischen Wert durch das kantonale Gericht erweist sich zusammenfassend nicht als bundesrechtswidrig. Nach dem Gesagten ist die Beschwerde unbegründet und das angefochtene Urteil nicht zu beanstanden.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