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8C_301/2017 vom 1. März 2018</w:t>
      </w:r>
    </w:p>
    <w:p>
      <w:r>
        <w:t>Bundesgericht, 2018-03-01, FR</w:t>
      </w:r>
    </w:p>
    <w:p>
      <w:r>
        <w:rPr>
          <w:b/>
        </w:rPr>
        <w:t xml:space="preserve">Quelle: </w:t>
      </w:r>
      <w:r>
        <w:t>https://mcp.opencaselaw.ch/entscheid/bger_8C_301_2017</w:t>
      </w:r>
    </w:p>
    <w:p>
      <w:r>
        <w:t>FR: TF 8C_301/2017 du 1 mars 2018</w:t>
      </w:r>
    </w:p>
    <w:p>
      <w:r>
        <w:t>IT: TF 8C_301/2017 del 1 marzo 2018</w:t>
      </w:r>
    </w:p>
    <w:p>
      <w:pPr>
        <w:pStyle w:val="Heading2"/>
      </w:pPr>
      <w:r>
        <w:t>Erwägungen</w:t>
      </w:r>
    </w:p>
    <w:p>
      <w:r>
        <w:rPr>
          <w:b/>
        </w:rPr>
        <w:t>E. 1</w:t>
      </w:r>
    </w:p>
    <w:p>
      <w:r>
        <w:t>Le jugement entrepris a été rendu en matière de rapports de travail de droit public au sens de l' art. 83 let . g LTF. Il s'agit d'une contestation pécuniaire.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w:t>
      </w:r>
    </w:p>
    <w:p>
      <w:r>
        <w:t>Le Tribunal fédéral conduit son raisonnement sur la base des faits établis par la juridiction précédente ( art. 105 al. 1 LTF ); il ne peut s'en écarter que si ces faits ont été constatés de façon manifestement inexacte, ce qui correspond à la notion d'arbitraire au sens de l' art. 9 Cst. ( ATF 141 IV 317 consid. 5.4 p. 324; 140 III 264 consid. 2.3 p. 266) ou en violation du droit au sens de l' art. 95 LTF ( art. 105 al. 2 LTF ), et pour autant que la correction du vice est susceptible d'influer sur le sort la cause ( art. 97 al. 1 LTF ).</w:t>
      </w:r>
    </w:p>
    <w:p>
      <w:r>
        <w:rPr>
          <w:b/>
        </w:rPr>
        <w:t>E. 3.1</w:t>
      </w:r>
    </w:p>
    <w:p>
      <w:r>
        <w:t>Invoquant une violation de son droit d'être entendu ( art. 29 PA [RS 172.021], 29 al. 2 Cst., 6 par. 1 CEDH et 14 Pacte ONU II [RS 0.103.2]), le recourant se plaint du refus par l'intimé de donner suite à sa demande d'entretien du 9 septembre 2016, au motif qu'il était désormais assisté d'un avocat. Il soutient par ailleurs que l'intimé aurait dû lui octroyer un nouveau délai pour se déterminer par écrit sur les motifs de licenciement retenus dans la communication du 16 septembre 2016, dès lors qu'à réception dudit courrier, il ne disposait que de six jours, jusqu'au 26 septembre, pour se déterminer.</w:t>
      </w:r>
    </w:p>
    <w:p>
      <w:r>
        <w:rPr>
          <w:b/>
        </w:rPr>
        <w:t>E. 3.2</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8C_817/2015 du 6 juillet 2016 consid. 4.3.1; 8C_243/2015 du 17 mars 2016 consid. 5.5 et les arrêts cités). La personne concernée ne doit pas seulement connaître les faits qui lui sont reprochés, mais doit également savoir qu'une décision allant dans une certaine direction est envisagée à son égard (arrêts 8C_502/2017 du 30 novembre 2017 consid. 5.3, destiné à la publication; 8C_158/2009 du 2 septembre 2009 consid. 5.2, non publié in ATF 136 I 39 ).</w:t>
      </w:r>
    </w:p>
    <w:p>
      <w:r>
        <w:t>Le droit d'être entendu doit par principe s'exercer avant le prononcé de la décision ( ATF 142 II 218 consid. 2.3 p. 222). Ainsi,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(cf. arrêt 8C_615/2016 du 15 juillet 2017 consid. 3.2.1 et les références). En revanche, le Tribunal fédéral a jugé insuffisant un délai d'une demi-heure à disposition d'un employé communal, convoqué à un entretien de service dont il ignorait l'objet, pour prendre connaissance du dossier et se déterminer sur l'intention de la commune de le licencier (arrêt 8C_615/2016 précité consid. 3.4).</w:t>
      </w:r>
    </w:p>
    <w:p>
      <w:r>
        <w:rPr>
          <w:b/>
        </w:rPr>
        <w:t>E. 3.3</w:t>
      </w:r>
    </w:p>
    <w:p>
      <w:r>
        <w:t>En l'occurrence, les garanties de l' art. 29 al. 2 Cst. et de l' art. 29 PA , dont la définition du droit d'être entendu correspond à celle du droit constitutionnel, ne comprennent pas le droit d'être entendu oralement ( ATF 140 I 68 consid. 9.6.1 p. 76; 134 I 140 consid. 5.3 p. 148; en ce qui concerne l' art. 29 PA cf. arrêt 1A.17/2000 du 17 août 2000 consid. 5). Quant aux garanties de procédure judiciaire des art. 6 par. 1 CEDH et 14 Pacte ONU II qui consacrent le droit à un procès équitable devant un tribunal indépendant et impartial, elles ne s'appliquent pas au stade de la procédure devant les organes de l'administration (cf. arrêt 1A.17/2000 consid. 5 précité). Dès lors que l'intimé n'était pas tenu d'entendre oralement le recourant, les motifs ayant conduit à son refus de fixer un nouvel entretien ne sont pas pertinents. Ce qui est déterminant, en revanche, c'est le point de savoir si le recourant a pu valablement exercer son droit d'être entendu, par écrit, avant que la décision de licenciement n'ait été prise. A cet égard, en admettant que le recourant a reçu les projets de convention et de résiliation des rapports de service le 19 septembre 2016 - comme il l'allègue pour la première fois devant le Tribunal fédéral - il disposait alors de sept jours (sans compter le jour de la notification) pour se déterminer. Un tel délai apparaît suffisant, d'autant plus que le recourant connaissait les faits reprochés et la décision envisagée depuis l'entretien du 6 septembre 2016 déjà. En conclusion, le comportement de l'intimé n'est pas critiquable sous l'angle du droit d'être entendu.</w:t>
      </w:r>
    </w:p>
    <w:p>
      <w:r>
        <w:rPr>
          <w:b/>
        </w:rPr>
        <w:t>E. 4.1</w:t>
      </w:r>
    </w:p>
    <w:p>
      <w:r>
        <w:t>Les premiers juges ont constaté que le recourant avait volontairement manipulé le système de timbrage à 78 reprises sur une période d'un an, en précisant qu'il a été mis au bénéfice du doute sur de nombreux timbrages suspicieux et que les données électroniques ne sont pas conservées au-delà d'une année.</w:t>
      </w:r>
    </w:p>
    <w:p>
      <w:r>
        <w:rPr>
          <w:b/>
        </w:rPr>
        <w:t>E. 4.2</w:t>
      </w:r>
    </w:p>
    <w:p>
      <w:r>
        <w:t>Sans contester les faits susmentionnés, le recourant soutient que les conditions pour un licenciement avec effet immédiat ne sont pas remplies. Il fait valoir qu'il compensait le temps de travail non exécuté par les pauses non prises du matin et de l'après-midi, et que les heures manquées étaient dédiées à ses parents malades. Se référant à la jurisprudence et à la doctrine, le recourant est d'avis que l'intimée ne pouvait le licencier avec effet immédiat que s'il avait persisté dans son comportement après avoir reçu un avertissement. A ce dernier propos, il invoque la violation du principe de la proportionnalité, soutenant qu'un avertissement aurait pu avoir les effets escomptés, à savoir la cessation des agissements reprochés, et rétablir le lien de confiance entre les parties. Se prévalant de ses 14 années de service, de ses bonnes évaluations, de sa promotion, de son âge et des motifs à l'origine des faux timbrages, le recourant est d'avis que son intérêt privé l'emportait sur l'intérêt public de l'intimé, lequel ne pouvait être mis en danger par le seul déplacement de ses temps de pause au cours d'une journée de travail.</w:t>
      </w:r>
    </w:p>
    <w:p>
      <w:r>
        <w:rPr>
          <w:b/>
        </w:rPr>
        <w:t>E. 4.3.1</w:t>
      </w:r>
    </w:p>
    <w:p>
      <w:r>
        <w:t>En vertu de l'art. 10 al. 4 de la loi du 24 mars 2000 sur le personnel de la Confédération (LPers; RS 172.220.1), les parties peuvent, pour de justes motifs, résilier avec effet immédiat les contrats de durée déterminée et les contrats de durée indéterminée.</w:t>
      </w:r>
    </w:p>
    <w:p>
      <w:r>
        <w:rPr>
          <w:b/>
        </w:rPr>
        <w:t>E. 4.3.2</w:t>
      </w:r>
    </w:p>
    <w:p>
      <w:r>
        <w:t>Conformément à la jurisprudence, la résiliation immédiate pour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 579 et les arrêts cités). Par manquement du travailleur, on entend en règle générale la violation d'une obligation découlant du contrat de travail, mais d'autres incidents peuvent également justifier une résiliation immédiate ( ATF 130 III 28 consid. 4.1 p. 31; 129 III 380 consid. 2.2 p. 382 s.). Ce qui est déterminant, c'est que les faits invoqués à l'appui du congé immédiat aient entraîné la perte du rapport de confiance qui constitue le fondement du contrat de travail ( ATF 137 III 303 consid. 2.1.1 p. 304). Savoir si le comportement incriminé atteint la gravité nécessaire dépend des circonstances du cas concret ( ATF 142 III 579 précité consid. 4.2 p. 580). Il est donc difficile d'établir un catalogue de comportements susceptibles de justifier un congé immédiat. Dans son appréciation, le juge doit notamment prendre en compte la position et la responsabilité du travailleur (arrêts 8C_800/2016 du 12 décembre 2017 consid. 3.4; 4A_112/2017 du 30 août 2017 consid. 3.2 et les nombreuses références citées).</w:t>
      </w:r>
    </w:p>
    <w:p>
      <w:r>
        <w:rPr>
          <w:b/>
        </w:rPr>
        <w:t>E. 4.3.3</w:t>
      </w:r>
    </w:p>
    <w:p>
      <w:r>
        <w:t>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8C_800/2016 précité consid. 3.6; 4A_395/2015 du 2 novembre 2015 consid. 3.6; 4C.114/2005 du 4 août 2005 consid. 2.5). Dans ce dernier arrêt, le Tribunal fédéral n'a pas retenu l'existence d'un juste motif de résiliation dans le cas d'un employé qui n'avait commis qu'une faute unique et qui n'occupait pas une position de cadre (cf. aussi MARIE-NOËLLE VENTURI-ZEN-RUFFINEN, La résiliation pour justes motifs des contrats de durée, 2007, p. 211 n. 614). En revanche, dans une autre affaire, il a jugé que le fait de timbrer à plusieurs reprises une pause de midi plus courte que celle effectivement prise était propre à ébranler ou à détruire le lien de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(arrêt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2A.72/2005 du 6 mai 2005 consid. 3.3 avec un renvoi à l'arrêt non publié 2P.29/1993 du 4 juin 1993).</w:t>
      </w:r>
    </w:p>
    <w:p>
      <w:r>
        <w:rPr>
          <w:b/>
        </w:rPr>
        <w:t>E. 4.4</w:t>
      </w:r>
    </w:p>
    <w:p>
      <w:r>
        <w:t>Contrairement à ce que laisse entendre le recourant dans son argumentation, ce n'est pas tant le "déplacement de ses temps de pause" qui lui est reproché, mais bien la manipulation du système de timbrage, dans le but de dissimuler son absence à son poste de travail. A cet égard, les motifs familiaux qu'il invoque pourraient, à la rigueur, excuser un déficit d'heures mais ne justifiaient pas la manière de procéder. En effet, selon les constatations du jugement attaqué, à aucun moment le recourant n'a fait part des difficultés rencontrées sur le plan familial ni requis un aménagement de son horaire de travail, cela malgré le soutien apporté par son employeur lorsqu'il avait lui-même rencontré des problèmes de santé entraînant de nombreuses absences de sa part entre 2009 et 2013. Par conséquent, c'est à juste titre que les premiers juges ont retenu, conformément à la casuistique tirée de la jurisprudence (supra consid. 4.3.3), que la nature et la gravité des actes reprochés, de même que leur caractère répété sur une période d'au moins une année, de la part d'un chef du service B.________, constituait une violation grave du devoir de fidélité, de nature à rompre irrémédiablement le rapport de confiance avec son employeur. Dans de telles circonstances, un avertissement n'est pas nécessaire sous l'angle de l' art. 10 al. 4 LPers ( ATF 143 II 443 consid. 7.5 p. 457). Cela étant, en tant qu'il fonde son grief de violation du principe de la proportionnalité sur l'absence d'avertissement, l'argumentation du recourant est mal fondée. Pour le reste, l'autorité précédente a exposé de manière circonstanciée et convaincante en quoi l'intérêt public de l'intimé, notamment à pouvoir s'appuyer sur des cadres dignes de confiance, l'emportait sur l'intérêt privé du recourant au maintien des rapports de service. A cet égard, le recourant se contente de reprendre les éléments déjà retenus en sa faveur par les premiers juges, ce qui n'est pas admissible au regard des exigences de motivation (art. 42 al. 2 en liaison avec l' art. 106 al. 2 LTF ).</w:t>
      </w:r>
    </w:p>
    <w:p>
      <w:r>
        <w:rPr>
          <w:b/>
        </w:rPr>
        <w:t>E. 5</w:t>
      </w:r>
    </w:p>
    <w:p>
      <w:r>
        <w:t>Vu ce qui précède, le recours se révèle mal fondé et doit être rejeté.</w:t>
      </w:r>
    </w:p>
    <w:p>
      <w:r>
        <w:rPr>
          <w:b/>
        </w:rPr>
        <w:t>E. 6</w:t>
      </w:r>
    </w:p>
    <w:p>
      <w:r>
        <w:t>Le recourant,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