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2/2013 vom 19. April 2013</w:t>
      </w:r>
    </w:p>
    <w:p>
      <w:r>
        <w:t>Bundesgericht, 2013-04-19, DE</w:t>
      </w:r>
    </w:p>
    <w:p>
      <w:r>
        <w:rPr>
          <w:b/>
        </w:rPr>
        <w:t xml:space="preserve">Quelle: </w:t>
      </w:r>
      <w:r>
        <w:t>https://mcp.opencaselaw.ch/entscheid/bger_8C_2_2013</w:t>
      </w:r>
    </w:p>
    <w:p>
      <w:r>
        <w:t>FR: TF 8C 2/2013 du 19 avril 2013</w:t>
      </w:r>
    </w:p>
    <w:p>
      <w:r>
        <w:t>IT: TF 8C 2/2013 del 19 aprile 2013</w:t>
      </w:r>
    </w:p>
    <w:p>
      <w:pPr>
        <w:pStyle w:val="Heading2"/>
      </w:pPr>
      <w:r>
        <w:t>Regeste</w:t>
      </w:r>
    </w:p>
    <w:p>
      <w:r>
        <w:t>Unfallversicherung | Unfallversicherung</w:t>
      </w:r>
    </w:p>
    <w:p>
      <w:pPr>
        <w:pStyle w:val="Heading2"/>
      </w:pPr>
      <w:r>
        <w:t>Erwägungen</w:t>
      </w:r>
    </w:p>
    <w:p>
      <w:r>
        <w:rPr>
          <w:b/>
        </w:rPr>
        <w:t>E. 1</w:t>
      </w:r>
    </w:p>
    <w:p>
      <w:r>
        <w:t>Die Beschwerde richtet sich gegen den vorinstanzlichen Nichteintretensentscheid. Das Bundesgericht hat daher nur zu prüfen, ob die Vorinstanz zu Recht auf das bei ihr erhobene Rechtsmittel nicht eingetreten ist ( BGE 132 V 74 E. 1.1 S. 76 mit Hinweis).</w:t>
      </w:r>
    </w:p>
    <w:p>
      <w:r>
        <w:rPr>
          <w:b/>
        </w:rPr>
        <w:t>E. 2.1</w:t>
      </w:r>
    </w:p>
    <w:p>
      <w:r>
        <w:t>Gemäss Art. 61 lit. b ATSG (SR 830.1)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w:t>
      </w:r>
    </w:p>
    <w:p>
      <w:r>
        <w:rPr>
          <w:b/>
        </w:rPr>
        <w:t>E. 2.2</w:t>
      </w:r>
    </w:p>
    <w:p>
      <w:r>
        <w:t>Laut § 18 des Gesetzes des Kantons Zürich vom 7. März 1993 über das Sozialversicherungsgericht (GSVGer; LS 212.81) hat die Beschwerdeschrift eine kurze Darstellung des Sachverhalts, ein klares Rechtsbegehren und dessen Begründung zu enthalten. Die Beweismittel sollen bezeichnet und soweit möglich eingereicht werden. Der angefochtene Entscheid ist beizulegen (Abs. 2). Genügt die Eingabe den Anforderungen nicht, setzt das Gericht eine angemessene Frist zur Verbesserung an, mit der Androhung, dass sonst auf die Beschwerde nicht eingetreten werde (Abs. 3).</w:t>
      </w:r>
    </w:p>
    <w:p>
      <w:r>
        <w:rPr>
          <w:b/>
        </w:rPr>
        <w:t>E. 2.3</w:t>
      </w:r>
    </w:p>
    <w:p>
      <w:r>
        <w:t>Die in Art. 61 lit. b ATSG statuierten Mindestanforderungen sind auf das Verfahren vor den kantonalen Versicherungsgerichten direkt anwendbar; nur darüber hinausgehende Fragen (z.B. Ausgestaltung des Gerichts, Verhandlungssprache, Kriterien zur Bemessung der Parteientschädigung oder Unterzeichnung der Entscheide) verbleiben in der Kompetenz der Kantone (vgl. UELI KIESER, ATSG-Kommentar, 2. Aufl. 2009, N. 12 zu Art. 61 ATSG ). Insofern erlangt § 18 GSVGer keine eigenständige Bedeutung, da er keinen über Art. 61 lit. b ATSG hinausgehenden Inhalt aufweist (vgl. Urteil 8C_556/2009 vom 1. März 2010, E. 3.2 mit Hinweisen; BARBARA KOBEL, in: Zünd/Pfiffner Rauber [Hrsg.], Kommentar zum Gesetz über das Sozialversicherungsgericht des Kantons Zürich, 2. Aufl. 2009, N. 1 zu § 18 GSVGer).</w:t>
      </w:r>
    </w:p>
    <w:p>
      <w:r>
        <w:rPr>
          <w:b/>
        </w:rPr>
        <w:t>E. 3.1</w:t>
      </w:r>
    </w:p>
    <w:p>
      <w:r>
        <w:t>Das kantonale Gericht hat erwogen, die Beschwerdeführerin habe zwar eine verbesserte Beschwerdeschrift eingereicht, es indessen unterlassen, den angefochtenen Einspracheentscheid vom 1. Oktober 2012 nachzureichen. Damit sei sie den Auflagen des Gerichts ungenügend nachgekommen, weshalb androhungsgemäss auf die Beschwerde nicht einzutreten sei.</w:t>
      </w:r>
    </w:p>
    <w:p>
      <w:r>
        <w:rPr>
          <w:b/>
        </w:rPr>
        <w:t>E. 3.2</w:t>
      </w:r>
    </w:p>
    <w:p>
      <w:r>
        <w:t>Die Beschwerdeführerin rügt eine Verletzung von Art. 61 lit. b ATSG und einen Verstoss gegen Art. 29 Abs. 1 BV (überspitzter Formalismus, Rechtsverweigerung). Für die strikte Anwendung der Formvorschriften bestehe kein schutzwürdiges Interesse, da der Vorinstanz sowohl der Leistungserbringer wie auch die streitige Anordnung aufgrund der Beschwerdeschrift und des Übermittlungsschreibens der Beschwerdegegnerin bekannt gewesen seien.</w:t>
      </w:r>
    </w:p>
    <w:p>
      <w:r>
        <w:rPr>
          <w:b/>
        </w:rPr>
        <w:t>E. 4.1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 BGE 135 I 6 E. 2.1 S. 9 mit Hinweisen).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132 I 249 E. 5 S. 253; 130 V 177 E. 5.4.1 S. 183).</w:t>
      </w:r>
    </w:p>
    <w:p>
      <w:r>
        <w:rPr>
          <w:b/>
        </w:rPr>
        <w:t>E. 4.2</w:t>
      </w:r>
    </w:p>
    <w:p>
      <w:r>
        <w:t>Eine kantonale Beschwerdeinstanz verletzt grundsätzlich kein Bundesrecht, wenn sie durch einen Nichteintretensentscheid die fehlende Einreichung des angefochtenen Entscheids innert gesetzter Frist ahndet, es sei denn, das Erfordernis, den angefochtenen Einspracheentscheid einzureichen, stelle in der konkreten Verfahrenssituation einen blossen Selbstzweck dar ( BGE 116 V 353 E.3c S. 358). § 18 Abs. 2 Satz 3 GSVGer dient dazu, dem angerufenen Gericht Gewissheit zu verschaffen, über welchen Streitgegenstand welcher Verfügungsinstanz dieses zu urteilen hat. Sind diese in der Regel ohne weiteres dem angefochtenen Entscheid zu entnehmenden Informationen nicht bekannt, hat das Gericht eine Nachfrist zur Verbesserung unter Androhung des Nichteintretens anzusetzen. Die kantonale Vorschrift enthält insoweit eine Gültigkeitsvoraussetzung, als auf eine Beschwerde nur dann eingetreten werden kann, wenn bekannt ist, gegen welchen Leistungserbringer und gegen welche Anordnung sich die Beschwerde richtet (KOBEL, a.a.O., N. 21 zu § 18 GSVGer). Überspitzter Formalismus liegt vor, wenn die kantonale Beschwerdeinstanz einen Nichteintretensentscheid fällt, obwohl der Zweck der Einreichung des angefochtenen Entscheids bereits auf andere Weise erreicht war ( BGE 116 V 353 E. 3b und c S. 358).</w:t>
      </w:r>
    </w:p>
    <w:p>
      <w:r>
        <w:rPr>
          <w:b/>
        </w:rPr>
        <w:t>E. 5.1</w:t>
      </w:r>
    </w:p>
    <w:p>
      <w:r>
        <w:t>Als Rechtsfrage frei zu prüfen ist, ob die Vorinstanz das Verbot des überspitzten Formalismus verletzte, indem sie auf die Beschwerde vom 10./30. Oktober 2012 nicht eingetreten ist.</w:t>
      </w:r>
    </w:p>
    <w:p>
      <w:r>
        <w:rPr>
          <w:b/>
        </w:rPr>
        <w:t>E. 5.2</w:t>
      </w:r>
    </w:p>
    <w:p>
      <w:r>
        <w:t>Die fälschlicherweise an die Zürich adressierte Eingabe der Beschwerdeführerin vom 10. Oktober 2012 enthielt die Überschrift "Einsprache gegen den Entscheid vom 1. Oktober 2012 - 272/11-........". Nach Art. 58 Abs. 3 ATSG hat die Behörde, die sich als unzuständig erachtet, die Beschwerde ohne Verzug dem zuständigen Versicherungsgericht zu überweisen. Die Beschwerdegegnerin leitete die Eingabe der Versicherten am 12. Oktober 2012 in diesem Sinne an das Sozialversicherungsgericht des Kantons Zürich weiter. Das Begleitschreiben enthielt die Referenznummer "272/11-........" und den Hinweis "Ereignis vom 7. April 2011". Zudem legte die Zürich das am gleichen Datum an die Beschwerdeführerin gerichtete Schreiben bei, in welchem sie den Empfang der Beschwerde gegen ihren Einspracheentscheid vom 1. Oktober 2012 bestätigte. Damit waren der Vorinstanz der zuständige Unfallversicherer, das Datum des streitigen Einspracheentscheids und die Referenznummer bekannt. Der angefochtene Entscheid hätte sich folglich ohne weiteres aus den von Amtes wegen beizuziehenden und vom Unfallversicherer einzureichenden massgeblichen Akten (§ 21 Abs. 1 GSVGer) entnehmen lassen. Unter diesen Umständen ist es überspitzt formalistisch, auf die Beschwerde mangels Einreichung des angefochtenen Einspracheentscheids nicht einzutreten. An diesem Ergebnis vermag nichts zu ändern, dass bei anders gelagerten verfahrensrechtlichen Situationen die Einreichung des angefochtenen Entscheids im Sinne der Mitwirkungspflicht durchaus geboten sein und bei einem Verstoss dagegen Nichteintreten nach sich ziehen kann.</w:t>
      </w:r>
    </w:p>
    <w:p>
      <w:r>
        <w:rPr>
          <w:b/>
        </w:rPr>
        <w:t>E. 5.3</w:t>
      </w:r>
    </w:p>
    <w:p>
      <w:r>
        <w:t>Die Sache ist unter Aufhebung des angefochtenen Entscheids an die Vorinstanz zurückzuweisen, damit sie die Beschwerde materiell prüfe und darüber entscheide.</w:t>
      </w:r>
    </w:p>
    <w:p>
      <w:r>
        <w:rPr>
          <w:b/>
        </w:rPr>
        <w:t>E. 6</w:t>
      </w:r>
    </w:p>
    <w:p>
      <w:r>
        <w:t>Das Verfahren ist kostenpflichtig. Die unterliegende Beschwerdegegnerin hat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