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8C_299/2024 vom 4. Juni 2024</w:t>
      </w:r>
    </w:p>
    <w:p>
      <w:r>
        <w:t>Bundesgericht, 2024-06-04, DE</w:t>
      </w:r>
    </w:p>
    <w:p>
      <w:r>
        <w:rPr>
          <w:b/>
        </w:rPr>
        <w:t xml:space="preserve">Quelle: </w:t>
      </w:r>
      <w:r>
        <w:t>https://mcp.opencaselaw.ch/entscheid/bger_8C_299_2024</w:t>
      </w:r>
    </w:p>
    <w:p>
      <w:r>
        <w:t>FR: TF 8C_299/2024 du 4 juin 2024</w:t>
      </w:r>
    </w:p>
    <w:p>
      <w:r>
        <w:t>IT: TF 8C_299/2024 del 4 giugno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 Beruht der angefochtene Entscheid auf mehreren selbstständigen Begründungen, die je für sich den Ausgang des Rechtsstreits besiegeln, hat die beschwerdeführende Partei darzulegen, dass jede von ihnen Recht verletzt ( BGE 142 III 364 E. 2.4 mit Hinweisen).</w:t>
      </w:r>
    </w:p>
    <w:p>
      <w:r>
        <w:rPr>
          <w:b/>
        </w:rPr>
        <w:t>E. 2</w:t>
      </w:r>
    </w:p>
    <w:p>
      <w:r>
        <w:t>Das kantonale Gericht bestätigte mit Urteil vom 15. März 2024 die von der Beschwerdegegnerin vorgenommene Einstellung des Beschwerdeführers in der Anspruchsberechtigung auf Arbeitslosenentschädigung für die Dauer von 36 Tagen. Dabei gelangte es in einlässlicher Würdigung der Akten und in Auseinandersetzung mit den Parteivorbringen zur Überzeugung, der Beschwerdeführer habe die Arbeitslosigkeit im Sinne von Art. 30 Abs. 1 lit. a AVIG selber verschuldet.</w:t>
      </w:r>
    </w:p>
    <w:p>
      <w:r>
        <w:rPr>
          <w:b/>
        </w:rPr>
        <w:t>E. 3</w:t>
      </w:r>
    </w:p>
    <w:p>
      <w:r>
        <w:t>Die Ausführungen in der Beschwerde erschöpfen sich in einer letztinstanzlich unzulässigen appellatorischen Kritik an der vorinstanzlichen Beweiswürdigung. Inwiefern das kantonale Gericht dabei mit offensichtlich unrichtigen oder unvollständigen Feststellungen zum Sachverhalt in Willkür verfallen sein (dazu Näheres: BGE 146 IV 88 E. 1.3.1 f. und 140 III 115 E. 2; je mit Hinweisen) oder einen anderen Beschwerdegrund ( Art. 95 ff. BGG ) gesetzt haben soll, legt der Beschwerdeführer nicht dar. Die Geschehnisse aus eigener Sicht zu schildern und darüber hinaus zu beanstanden, das kantonale Gericht habe die Vorbringen nicht hinreichend gewürdigt, reicht nicht aus. Eine willkürliche Beweiswürdigung ist damit nicht dargetan.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