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8C_299/2021 vom 19. Mai 2021</w:t>
      </w:r>
    </w:p>
    <w:p>
      <w:r>
        <w:t>Bundesgericht, 2021-05-19, DE</w:t>
      </w:r>
    </w:p>
    <w:p>
      <w:r>
        <w:rPr>
          <w:b/>
        </w:rPr>
        <w:t xml:space="preserve">Quelle: </w:t>
      </w:r>
      <w:r>
        <w:t>https://mcp.opencaselaw.ch/entscheid/bger_8C_299_2021</w:t>
      </w:r>
    </w:p>
    <w:p>
      <w:r>
        <w:t>FR: TF 8C_299/2021 du 19 mai 2021</w:t>
      </w:r>
    </w:p>
    <w:p>
      <w:r>
        <w:t>IT: TF 8C_299/2021 del 19 maggio 2021</w:t>
      </w:r>
    </w:p>
    <w:p>
      <w:pPr>
        <w:pStyle w:val="Heading2"/>
      </w:pPr>
      <w:r>
        <w:t>Volltext</w:t>
      </w:r>
    </w:p>
    <w:p>
      <w:r>
        <w:t>Bundesgericht</w:t>
      </w:r>
    </w:p>
    <w:p>
      <w:r>
        <w:t>Tribunal fédéral</w:t>
      </w:r>
    </w:p>
    <w:p>
      <w:r>
        <w:t>Tribunale federale</w:t>
      </w:r>
    </w:p>
    <w:p>
      <w:r>
        <w:t>Tribunal federal</w:t>
      </w:r>
    </w:p>
    <w:p>
      <w:r>
        <w:t>8C_299/2021</w:t>
      </w:r>
    </w:p>
    <w:p>
      <w:r>
        <w:t>Urteil vom 19. Mai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Zürich vom 23. März 2021 (UV.2020.00273).</w:t>
      </w:r>
    </w:p>
    <w:p>
      <w:r>
        <w:t>Nach Einsicht</w:t>
      </w:r>
    </w:p>
    <w:p>
      <w:r>
        <w:t>in die Beschwerde vom 26. April 2021 gegen das Urteil des Sozialversicherungsgerichts des Kantons Zürich vom 23. März 2021,</w:t>
      </w:r>
    </w:p>
    <w:p>
      <w:r>
        <w:t>in die Mitteilung des Bundesgerichts vom 28. April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30. April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w:t>
      </w:r>
    </w:p>
    <w:p>
      <w:r>
        <w:t>dass das kantonale Gericht im angefochtenen Entscheid die Auffassung der Suva bestätigte, wonach diese für den vom Beschwerdeführer am 15. April 2020 gemeldeten Gesundheitsschaden keine Leistungspflicht treffe,</w:t>
      </w:r>
    </w:p>
    <w:p>
      <w:r>
        <w:t>dass es dazu ausführte, bei dem vom Beschwerdeführer zur Leistungsbegründung angegebenen, am 2. Februar 2020 stattgefundenen Ereignis handle es sich um keinen Unfall im Sinne von Art. 4 ATSG , zumindest erscheine dies aufgrund der Angaben des erstbehandelnden Arztes und der erst sehr spät getätigten Unfallmeldung als nicht überwiegend wahrscheinlich,</w:t>
      </w:r>
    </w:p>
    <w:p>
      <w:r>
        <w:t>dass es sodann auf der Grundlage der im Recht gelegenen Arztberichte von einer vorwiegend auf Abnützung oder Erkrankung zurückzuführenden und damit nicht von der Suva zu tragenden Körperschädigung ausging,</w:t>
      </w:r>
    </w:p>
    <w:p>
      <w:r>
        <w:t>dass der Beschwerdeführer dies beanstandet, ohne indessen aufzuzeigen, inwiefern die in diesem Zusammenhang getroffenen vorinstanzlichen Sachverhaltsfeststellungen unzutreffend im Sinne von Art. 97 Abs. 2 BGG und die darauf beruhenden Erwägungen rechtsfehlerhaft sein sollen; den Geschehensablauf aus seiner Sicht zu schildern genügt genau so wenig wie weitere Abklärungen mit der pauschal gehaltenen Begründung zu fordern, nicht von sämtlichen, sich zur Sache äussernden Ärzten persönlich untersucht worden zu sein,</w:t>
      </w:r>
    </w:p>
    <w:p>
      <w:r>
        <w:t>dass die Beschwerde insgesamt offensichtlich den Mindestanforderungen an eine sachbezogene Beschwerde im Sinne von Art. 42 Abs. 2 BGG nicht zu genügen vermag,</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19.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