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8C_299/2009 vom 30. September 2009</w:t>
      </w:r>
    </w:p>
    <w:p>
      <w:r>
        <w:t>Bundesgericht, 2009-09-30, DE</w:t>
      </w:r>
    </w:p>
    <w:p>
      <w:r>
        <w:rPr>
          <w:b/>
        </w:rPr>
        <w:t xml:space="preserve">Quelle: </w:t>
      </w:r>
      <w:r>
        <w:t>https://mcp.opencaselaw.ch/entscheid/bger_8C_299_2009</w:t>
      </w:r>
    </w:p>
    <w:p>
      <w:r>
        <w:t>FR: TF 8C_299/2009 du 30 septembre 2009</w:t>
      </w:r>
    </w:p>
    <w:p>
      <w:r>
        <w:t>IT: TF 8C_299/2009 del 30 settembre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U 2/07 E. 5.3.1) dienen, neu gefasst. Der Katalog der adäquanzrelevanten Kriterien lautet nunmehr:</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ob aufgrund des Unfalles vom 9. November 2000 eine Leistungspflicht der SUVA für die über den 31. August 2006 hinaus geklagten Beschwerden besteht.</w:t>
      </w:r>
    </w:p>
    <w:p>
      <w:r>
        <w:rPr>
          <w:b/>
        </w:rPr>
        <w:t>E. 4.1</w:t>
      </w:r>
    </w:p>
    <w:p>
      <w:r>
        <w:t>Es steht fest und ist unbestritten, dass der Versicherte entgegen anfänglichen Befürchtungen am 9. November 2000 keine im Sinne der Rechtsprechung organisch nachweisbaren Verletzungen erlitten hat. Die Adäquanz eines allfälligen Kausalzusammenhanges zwischen dem Ereignis und den geklagten Beschwerden ist somit speziell zu prüfen. Dabei kann vorliegend offenbleiben, ob Vorinstanz und Verwaltung zu Recht die Adäquanz nach den Kriterien geprüft haben, welche für psychische Unfallschäden entwickelt wurden ( BGE 115 V 133 ), führt doch - wie nachstehend gezeigt wird - auch eine Prüfung nach den für den Versicherten günstigeren Kriterien der sog. "Schleudertrauma-Praxis" ( BGE 134 V 109 E. 10.3 S. 130) zu einer Verneinung der Adäquanz.</w:t>
      </w:r>
    </w:p>
    <w:p>
      <w:r>
        <w:rPr>
          <w:b/>
        </w:rPr>
        <w:t>E. 4.2</w:t>
      </w:r>
    </w:p>
    <w:p>
      <w:r>
        <w:t>Die Schwere des Unfalles ist aufgrund des augenfälligen Geschehensablaufs mit den sich dabei entwickelnden Kräften zu beurteilen (SVR 2008 UV Nr. 8 S. 26, U 2/07 E. 5.3.1). Dabei werden einfache Auffahrkollisionen auf ein haltendes Fahrzeug in der Regel als mittelschwerer Unfall im Grenzbereich zu den leichten Unfällen betrachtet (RKUV 2005 Nr. U 549 S. 236, U 380/04 E. 5.1.2). Vorinstanz und Verwaltung qualifizierten das Ereignis vom 9. November 2000 mit Blick auf die biomechanische Kurzbeurteilung vom 5. November 2002 als mittelschweren Unfall; diese Qualifikation ist jedenfalls nicht zu Ungunsten des Versicherten ausgefallen. Die Adäquanz eines Kausalzusammenhanges wäre somit nur dann zu bejahen, wenn entweder ein einzelnes der relevanten Adäquanzkriterien in besonders ausgeprägter oder mehrere dieser Kriterien in gehäufter oder auffallender Weise gegeben sind ( BGE 134 V 109 E. 10.1 S. 126 f.; 117 V 359 E. 6 S. 367 f.)</w:t>
      </w:r>
    </w:p>
    <w:p>
      <w:r>
        <w:rPr>
          <w:b/>
        </w:rPr>
        <w:t>E. 4.3.1</w:t>
      </w:r>
    </w:p>
    <w:p>
      <w:r>
        <w:t>Der Versicherte macht zu Recht nicht geltend, das Kriterium der besonders dramatischen Begleitumstände oder der besonderen Eindrücklichkeit des Unfalls sei erfüllt.</w:t>
      </w:r>
    </w:p>
    <w:p>
      <w:r>
        <w:rPr>
          <w:b/>
        </w:rPr>
        <w:t>E. 4.3.2</w:t>
      </w:r>
    </w:p>
    <w:p>
      <w:r>
        <w:t>Was das Kriterium der Schwere und besonderen Art der erlittenen Verletzung betrifft, hat das Bundesgericht im erwähnten Urteil BGE 134 V 109 E. 10.2.2 S. 127 f. seine Rechtsprechung bestätigt, wonach die Diagnose einer HWS-Distorsion für sich allein zu dessen Bejahung nicht genügt.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(SVR 2007 UV Nr. 26 S. 86, U 339/06 E. 5.3; RKUV 2003 Nr. U 489 S. 357, U 193/01 E. 4.3 mit Hinweisen), was vorliegend allerdings nicht der Fall ist.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Entgegen der Ansicht des Beschwerdeführers ist indessen nicht bereits deshalb eine Verletzung besonderer Art anzunehmen, weil der Versicherte bereits in der Vergangenheit einmal einen Auffahrunfall erlitten hat. Vielmehr rechtfertigt sich eine entsprechende Qualifikation der erlittenen Verletzungen nur bei Vorliegen einer erheblich vorgeschädigten Wirbelsäule (vgl. SVR 2009 UV Nr. 30 S. 105, 8C_413/2008 E. 6.3.2 mit weiteren Hinweisen). Da die Beschwerden nach dem ersten Auffahrunfall im Jahre 1995 im Jahre 2000 abgeheilt waren, ist nicht davon auszugehen, dass diese Vorschädigung der Wirbelsäule eine Bejahung des Kriteriums rechtfertigen würde. Zudem bleibt anzumerken, dass die angeführte Heckkollision vom 30. Juni 2005 lediglich zu einer vorübergehenden Schmerzverstärkung der vorbestehenden HWS-Beschwerden, ohne richtunggebende Veränderung des Beschwerdebildes, führte (Gutachten der Rehaklinik Y.________ vom 7. März 2006).</w:t>
      </w:r>
    </w:p>
    <w:p>
      <w:r>
        <w:rPr>
          <w:b/>
        </w:rPr>
        <w:t>E. 4.3.3</w:t>
      </w:r>
    </w:p>
    <w:p>
      <w:r>
        <w:t>Das Kriterium der fortgesetzt spezifischen, belastenden ärztlichen Behandlung ist objektiv zu beurteilen und nicht aufgrund des subjektiven Empfindens der versicherten Person (Urteil 8C_970/2008 vom 30. April 2009 E. 5.4). Auch unter Berücksichtigung des dreiwöchigen Aufenthaltes in der Klinik Z.________ im Herbst 2002 kann dieses Merkmal insgesamt nicht als erfüllt gewertet werden, so handelt es sich bei den seit dem Unfallereignis wiederholt angewendeten Therapieformen nebst der Abgabe von Medikamenten vornehmlich um manualtherapeutische Behandlungen (u.a. Physiotherapie) sowie Psychotherapie. Eine erhebliche Mehrbelastung kann darin nicht gesehen werden (RKUV 2005 Nr. U 549 S. 236, U 380/04 E. 5.2.4 in fine; Urteile 8C_89/2008 vom 3. Oktober 2008, E. 8.3 mit diversen Hinweisen).</w:t>
      </w:r>
    </w:p>
    <w:p>
      <w:r>
        <w:rPr>
          <w:b/>
        </w:rPr>
        <w:t>E. 4.3.4</w:t>
      </w:r>
    </w:p>
    <w:p>
      <w:r>
        <w:t>Ebenfalls nicht gegeben ist das Kriterium der ärztlichen Fehlbehandlung, welche die Unfallfolgen erheblich verschlimmerte. Nach dem heutigen Kenntnisstand kann einzig aufgrund des Umstandes, dass der Beschwerdeführer nach dem Unfall auf ärztliche Anordnung hin einen Halskragen getragen hat, noch nicht auf eine Fehlbehandlung, welche die Unfallfolgen erheblich verschlimmert hat, geschlossen werden (Urteil 8C_1020/2008 vom 8. April 2009 E. 5.6 mit weiteren Hinweisen). Bei Auffahrunfällen mit Distorsion der HWS tritt im Weiteren in vielen Fällen schon nach kurzer Zeit eine deutliche Besserung der geklagten Beschwerden ein ( BGE 134 V 109 E. 9.3 S. 124). Mithin kann entgegen den Einwendungen des Versicherten auch nicht als Fehlbehandlung gewertet werden, dass ihm von den behandelnden Ärzten nicht von Beginn weg eine Arbeitsunfähigkeit bescheinigt wurde (Urteil 8C_154/2009 vom 5. Juni 2009 E. 5.5). Auch wenn Dr. med. O.________ in seinem Gutachten vom 4. Juli 2005 auf das Scheitern der Rehabilitationsbehandlung in der Klinik Z.________ im Oktober 2002 hinweist, kann daraus ebenfalls keine Fehlbehandlung im Sinne des Kriteriums abgeleitet werden.</w:t>
      </w:r>
    </w:p>
    <w:p>
      <w:r>
        <w:rPr>
          <w:b/>
        </w:rPr>
        <w:t>E. 4.3.5</w:t>
      </w:r>
    </w:p>
    <w:p>
      <w:r>
        <w:t>Die beiden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(vgl. 8C_349/2009 vom 17. August 2009 E. 5.3). Schwierigkeiten bei der Bestellung eines geeigneten Gutachters können entgegen den Ausführungen des Beschwerdeführers nicht zu einer Bejahung dieses Kriteriums führen. Im Vergleich mit anderen Fällen von HWS-Distorsionstraumen und äquivalenten Verletzungen kann vorliegend nicht von erheblichen Komplikationen ausgegangen werden. Auch ein schwieriger Heilungsverlauf liegt nicht vor. Das Kriterium ist mithin ebenfalls zu verneinen.</w:t>
      </w:r>
    </w:p>
    <w:p>
      <w:r>
        <w:rPr>
          <w:b/>
        </w:rPr>
        <w:t>E. 4.3.6</w:t>
      </w:r>
    </w:p>
    <w:p>
      <w:r>
        <w:t>Was schliesslich die beiden Merkmale der erheblichen Beschwerden und der erheblichen Arbeitsunfähigkeit trotz ausgewiesener Anstrengungen betrifft, gilt festzustellen, dass selbst wenn diese bejaht werden könnten, sie jedenfalls nicht in ausgeprägter Weise gegeben sind.</w:t>
      </w:r>
    </w:p>
    <w:p>
      <w:r>
        <w:rPr>
          <w:b/>
        </w:rPr>
        <w:t>E. 4.3.7</w:t>
      </w:r>
    </w:p>
    <w:p>
      <w:r>
        <w:t>Da mithin keines der massgeblichen Kriterien besonders ausgeprägt vorliegt und selbst dann, wenn man zu Gunsten der Versicherten die beiden Kriterien der erheblichen Beschwerden und der erheblichen Arbeitsunfähigkeit trotz ausgewiesener Anstrengungen als erfüllt erachten würde, die Kriterien nicht in gehäufter Weise gegeben sind, ist die Adäquanz eines allfälligen Kausalzusammenhanges zwischen dem Unfallereignis vom 9. November 2000 und den über den 31. August 2006 hinaus geklagten Beschwerden zu verneinen. Die Leistungseinstellung auf dieses Datum hin ist somit nicht zu beanstanden.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