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8C_298/2019 vom 18. September 2019</w:t>
      </w:r>
    </w:p>
    <w:p>
      <w:r>
        <w:t>Bundesgericht, 2019-09-18, DE</w:t>
      </w:r>
    </w:p>
    <w:p>
      <w:r>
        <w:rPr>
          <w:b/>
        </w:rPr>
        <w:t xml:space="preserve">Quelle: </w:t>
      </w:r>
      <w:r>
        <w:t>https://mcp.opencaselaw.ch/entscheid/bger_8C_298_2019</w:t>
      </w:r>
    </w:p>
    <w:p>
      <w:r>
        <w:t>FR: TF 8C_298/2019 du 18 septembre 2019</w:t>
      </w:r>
    </w:p>
    <w:p>
      <w:r>
        <w:t>IT: TF 8C_298/2019 del 18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zum Ganzen BGE 144 V 50 E. 4.2 S. 53).</w:t>
      </w:r>
    </w:p>
    <w:p>
      <w:r>
        <w:rPr>
          <w:b/>
        </w:rPr>
        <w:t>E. 1.3</w:t>
      </w:r>
    </w:p>
    <w:p>
      <w:r>
        <w:t>Die Feststellungen zum Gesundheitszustand einer versicherten Person und der daraus resultierenden Arbeits (un) fähigkeit, die das Sozialversicherungsgericht gestützt auf medizinische Untersuchungen trifft, sind tatsächlicher Natur und vom Bundesgericht daher nur beschränkt überprüfbar (E. 1.2 hiervor). Gleiches gilt für die konkrete Beweiswürdigung. Dagegen sind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2.1</w:t>
      </w:r>
    </w:p>
    <w:p>
      <w:r>
        <w:t>Streitig und zu prüfen ist, ob die Vorinstanz Bundesrecht verletzte, indem sie die Ablehnung des Leistungsgesuchs schützte.</w:t>
      </w:r>
    </w:p>
    <w:p>
      <w:r>
        <w:rPr>
          <w:b/>
        </w:rPr>
        <w:t>E. 2.2</w:t>
      </w:r>
    </w:p>
    <w:p>
      <w:r>
        <w:t>Das kantonale Gericht legte die massgebenden Rechtsgrundlagen zutreffend dar: Dies betrifft namentlich die Ausführungen zu den Voraussetzungen des Rentenanspruchs ( Art. 6 ATSG , Art. 8 ATSG , Art. 28 Abs. 1 IVG ), insbesondere bei einer Neuanmeldung, nachdem eine Rente zuvor verweigert oder eingestellt worden war (Art. 87   Abs. 3 i.V.m. Abs. 2 IVV und Art. 17 Abs. 1 ATSG ; BGE 135 V 201 E. 4.2 S. 205; 134 V 131 E. 3 S. 132 f.; 133 V 108 E. 5 S. 110 ff.; 130 V 343 E. 3.5 S. 240 f.; 130 V 71 ). Gleiches gilt für die Ausführungen zur Beweiswürdigung (Art. 61 lit. c in fine ATSG) und zum Beweiswert medizinischer Berichte ( BGE 134 V 231 E. 5.1 S. 232; 125 V 351 E. 3a und 3b S. 352). Darauf wird verwiesen.</w:t>
      </w:r>
    </w:p>
    <w:p>
      <w:r>
        <w:t>Hervorzuheben ist, dass bei Entscheiden gestützt auf versicherungsinterne ärztliche Beurteilungen, die im Wesentlichen oder ausschliesslich aus dem Verfahren vor dem Sozialversicherungsträger stammen, strenge Anforderungen an die Beweiswürdigung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 f.).</w:t>
      </w:r>
    </w:p>
    <w:p>
      <w:r>
        <w:rPr>
          <w:b/>
        </w:rPr>
        <w:t>E. 3.1</w:t>
      </w:r>
    </w:p>
    <w:p>
      <w:r>
        <w:t>Die rentenaufhebende Verfügung vom 21. Juli 2008 beruhte in medizinischer Hinsicht hauptsächlich auf dem rheumatologisch-psychiatrischen Gutachten des Instituts C.________ vom 26. März 2008. Als Diagnose mit Auswirkung auf die Arbeitsfähigkeit wurde aus rheumatologischer Sicht ein multilokuläres Schmerzsyndrom erhoben, während keine psychiatrischen Störungen mit Auswirkung auf die Arbeitsfähigkeit, insbesondere keine Schmerzstörung, diagnostiziert wurden. Die bisherige Tätigkeit als Produktionsmitarbeiterin galt aus interdisziplinärer Sicht als nicht mehr zumutbar. Demgegenüber bestehe eine volle Arbeitsfähigkeit für angepasste, körperlich leichte Tätigkeiten mit frei zu wählendem Wechsel zwischen Sitzen, Stehen und Gehen, unter Ausschluss monoton-repetitiver Tätigkeiten, Tätigkeiten in Zwangshaltungen der Wirbelsäule sowie Überkopfarbeiten und einer Limitierung der repetitiven Gewichtsbelastung.</w:t>
      </w:r>
    </w:p>
    <w:p>
      <w:r>
        <w:rPr>
          <w:b/>
        </w:rPr>
        <w:t>E. 3.2</w:t>
      </w:r>
    </w:p>
    <w:p>
      <w:r>
        <w:t>Die Vorinstanz kam in Würdigung der medizinischen Akten zum Schluss, dass es aufgrund des operativen Eingriffs am Rücken am 26. August 2016 zwar zu einer Veränderung des Gesundheitszustands gekommen sei. Allerdings sei die Beschwerdeführerin in einer leidensangepassten Tätigkeit, die dem im Gutachten des Instituts C.________ umschriebenen Belastungsprofil entspreche, weiterhin voll arbeitsfähig. Damit liege mit Blick auf die Neuanmeldung keine       relevante Veränderung vor und habe die Beschwerdegegnerin das Leistungsbegehren zu Recht abgewiesen. Die Einwände der Beschwerdeführerin vermöchten keine auch nur geringen Zweifel an den Stellungnahmen des RAD-Arztes Dr. med. D.________, Facharzt FMH für orthopädische Chirurgie und Traumatologie, vom 19. Januar und 13. April 2018 zu begründen. Diese seien folglich beweiskräftig, weshalb darauf abgestellt werden könne. Insbesondere seien keine Hinweise für eine psychische Störung ersichtlich. Auch seien keine weiteren Abklärungen angezeigt. Daher habe die Beschwerdegegnerin ihre Untersuchungspflicht nicht verletzt.</w:t>
      </w:r>
    </w:p>
    <w:p>
      <w:r>
        <w:rPr>
          <w:b/>
        </w:rPr>
        <w:t>E. 3.3</w:t>
      </w:r>
    </w:p>
    <w:p>
      <w:r>
        <w:t>Die Beschwerdeführerin wirft der Vorinstanz eine Verletzung der Untersuchungspflicht ( Art. 43 ATSG ) sowie eine offensichtlich unrichtige bzw. unvollständige Sachverhaltsfeststellung hinsichtlich des psychischen Leidens vor. Sie hält dazu im Wesentlichen fest, dass sie seit September 2017 ambulant psychiatrisch-psychotherapeutisch behandelt werde, nachdem sie sich vom 14. August bis 9. September 2017 stationär in der Klinik E.________ aufgehalten habe. Die Feststellung im angefochtenen Entscheid, dass sie sich nicht in einer psychiatrischen Behandlung oder fachärztlich delegierten psychotherapeutischen Betreuung befinde, sei daher falsch. Sie beruft sich dazu auf den Arztbericht des Dr. med. F.________, Facharzt FMH für Allgemeine Innere Medizin, Psychosomatische und Psychosoziale Medizin SAPPM, Oberarzt Psychosomatik, Klinik E.________, vom 13. Dezember 2017. Diesem Dokument ist allerdings nur zu entnehmen, dass die Versicherte psychotherapeutisch behandelt wird. Zudem wies Dr. med. D.________ darauf hin, dass es sich bei Dr. med. F.________ nicht um einen Facharzt für Psychiatrie und Psychotherapie handelt, weshalb auch keine psychiatrische Behandlung durch ihn habe stattfinden können oder stattfinde. Bereits deswegen erweist sich die vorinstanzliche Feststellung nicht als offensichtlich unrichtig.</w:t>
      </w:r>
    </w:p>
    <w:p>
      <w:r>
        <w:t>Dr. med. D.________ zeigte des Weiteren auf, dass sich weder aus dem Bericht des Dr. med. F.________ noch aus den übrigen, seit der Neuanmeldung ergangenen medizinischen Akten eine fachärztlich erhobene psychiatrische Diagnose ergebe. Insbesondere werde auch die von Dr. med. G.________, Fachärztin FMH für allgemeine innere Medizin und Rheumatologie, Spital H.________, gestellte Diagnose eines generalisierten Schmerzsyndroms mit somatischen und psychischen Faktoren weder eingehend begründet noch belegt. Angesichts der Aktenlage schadet es vorliegend (entgegen der Beschwerdeführerin) nicht, dass Dr. med. D.________ selbst nicht über die Qualifikation als Facharzt für Psychiatrie verfügt. Da er sich hinreichend mit der fehlenden fachärztlichen Diagnosestellung auseinandersetzte, kann zudem nicht gesagt werden, seine Feststellungen beruhten auf einer lückenhaften Dokumentation.</w:t>
      </w:r>
    </w:p>
    <w:p>
      <w:r>
        <w:t>Etwas anderes ergibt sich auch nicht daraus, dass die Beschwerdeführerin die vor der Rückenoperation zuletzt ausgeübte Arbeit als Hilfskraft in einer Cafeteria nicht wieder aufnehmen konnte. Denn diese Tätigkeit entsprach (wie die Vorinstanz unter Hinweis auf die Ausführungen des Dr. med. D.________ festhielt) ohnehin nicht den im Gutachten des Instituts C.________ gestellten Anforderungen an eine adaptierte Tätigkeit.</w:t>
      </w:r>
    </w:p>
    <w:p>
      <w:r>
        <w:rPr>
          <w:b/>
        </w:rPr>
        <w:t>E. 3.4</w:t>
      </w:r>
    </w:p>
    <w:p>
      <w:r>
        <w:t>Ebensowenig führt der Bericht der Dr. med. I.________, Fachärztin FMH für Psychiatrie und Psychotherapie, und der Psychologin K.________ vom 2. Mai 2019 zu einer anderen Beurteilung. Zwar wird darin u.a. eine mittelgradige depressive Episode (Differenzialdiagnose Panikstörung) diagnostiziert, eine 100%ige Arbeitsunfähigkeit attestiert und bestätigt, dass sich die Beschwerdeführerin seit September 2017 in einer ambulanten psychiatrisch/psychotherapeutischen Behandlung befinde. Allerdings wurde dieses Dokument erst nach dem angefochtenen Entscheid erstellt. Ausserdem wird nicht dargetan, weshalb eine solche Stellungnahme nicht bereits vor Erlass des vorinstanzlichen Entscheids hätte eingeholt und in das Verfahren eingebracht werden können, zumal die Behandlung (laut diesem Bericht) im Zeitpunkt der IV-Anmeldung bereits begonnen haben soll. Daher handelt es sich um ein unbeachtliches Novum ( Art. 99 Abs. 1 BGG ; BGE 140 V 543 E. 3.2.2.2 S. 548).</w:t>
      </w:r>
    </w:p>
    <w:p>
      <w:r>
        <w:rPr>
          <w:b/>
        </w:rPr>
        <w:t>E. 3.5</w:t>
      </w:r>
    </w:p>
    <w:p>
      <w:r>
        <w:t>Im Ergebnis stellte die Vorinstanz den Sachverhalt weder offensichtlich unrichtig noch unvollständig oder in Verletzung von Bundesrecht fest. Von letzterem kann namentlich auch insoweit nicht die Rede sein, als sie den Stellungnahmen des RAD-Arztes Beweiskraft zusprach. Mithin besteht auch kein Raum für die (eventualiter beantragte) Einholung eines Gerichtsgutachtens. Die Beschwerde ist abzuweisen.</w:t>
      </w:r>
    </w:p>
    <w:p>
      <w:r>
        <w:rPr>
          <w:b/>
        </w:rPr>
        <w:t>E. 4</w:t>
      </w:r>
    </w:p>
    <w:p>
      <w:r>
        <w:t>Bei diesem Verfahrensausgang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