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8C_297/2018 vom 6. Juli 2018</w:t>
      </w:r>
    </w:p>
    <w:p>
      <w:r>
        <w:t>Bundesgericht, 2018-07-06, DE</w:t>
      </w:r>
    </w:p>
    <w:p>
      <w:r>
        <w:rPr>
          <w:b/>
        </w:rPr>
        <w:t xml:space="preserve">Quelle: </w:t>
      </w:r>
      <w:r>
        <w:t>https://mcp.opencaselaw.ch/entscheid/bger_8C_297_2018</w:t>
      </w:r>
    </w:p>
    <w:p>
      <w:r>
        <w:t>FR: TF 8C_297/2018 du 6 juillet 2018</w:t>
      </w:r>
    </w:p>
    <w:p>
      <w:r>
        <w:t>IT: TF 8C_297/2018 del 6 luglio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ist, ob die Vorinstanz Bundesrecht verletzt hat, als sie der Beschwerdegegnerin ab dem 1. November 2013 einen Anspruch auf eine Viertelsrente der Invalidenversicherung gewährte. Dabei ist unter den Parteien einzig streitig, ob der von der Vorinstanz gewährte leidensbedingte Abzug von 20 % bundesrechtswidrig ist.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3.3</w:t>
      </w:r>
    </w:p>
    <w:p>
      <w:r>
        <w:t>Für die Festsetzung des Invalideneinkommens können nach der Rechtsprechung unter anderem Tabellenlöhne gemäss den vom Bundesamt für Statistik periodisch herausgegebenen Lohnstrukturerhebungen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 Ob ein (behinderungsbedingt oder anderweitig begründeter) Abzug vom Tabellenlohn vorzunehmen ist, stellt eine vom Bundesgericht frei überprüfbare Rechtsfrage dar ( BGE 137 V 71 E. 5.1 S. 72 f. mit Hinweis, Urteil 8C_652/2008 vom 8. Mai 2009 E. 4 in fine, nicht publiziert in BGE 135 V 297 ). Dagegen ist die Höhe des (im konkreten Fall grundsätzlich angezeigten) Abzuges eine Ermessensfrage und daher letztinstanzlich nur bei Ermessensüberschreitung, -missbrauch oder -unterschreitung korrigierbar ( BGE 137 V 71 E. 5.1 S. 72 f. mit Hinweis, 132 V 393 E. 3.3 S. 39; 8C_179/2018 vom 22. Mai 2018      E. 3.3).</w:t>
      </w:r>
    </w:p>
    <w:p>
      <w:r>
        <w:rPr>
          <w:b/>
        </w:rPr>
        <w:t>E. 3.4</w:t>
      </w:r>
    </w:p>
    <w:p>
      <w:r>
        <w:t>Im Gegensatz zur Kognition des Bundesgerichts ist diejenige der Vorinstanz in diesem Zusammenhang nicht auf Rechtsverletzung (einschliesslich Ermessensüberschreitung, -missbrauch oder -unterschreitung) beschränkt, sondern erstreckt sich auch auf die Beurteilung der Angemessenheit der Verwaltungsverfügung ( BGE 137 V 73 E. 5.2    S. 73).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mit Hinweis).</w:t>
      </w:r>
    </w:p>
    <w:p>
      <w:r>
        <w:rPr>
          <w:b/>
        </w:rPr>
        <w:t>E. 3.5</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9C_826/2015 vom 13. April 2016 E. 3.2.1). Dementsprechend kann nach der Gerichtspraxis in der Regel eine psychisch bedingte verstärkte Rücksichtnahme seitens Vorgesetzter und Arbeitskollegen nicht als eigenständiger Abzugsgrund anerkannt werden (SZS 2015 S. 561, 9C_366/2015 E. 4.3.1 mit Hinweisen).</w:t>
      </w:r>
    </w:p>
    <w:p>
      <w:r>
        <w:rPr>
          <w:b/>
        </w:rPr>
        <w:t>E. 4.1</w:t>
      </w:r>
    </w:p>
    <w:p>
      <w:r>
        <w:t>Die Parteien sind sich darüber einig, dass die Beschwerdegegnerin, nebst der unbestrittenen Einschränkung im Aufgabenbereich (Haushalt), sowohl in der zuletzt ausgeübten Tätigkeit als Verkäuferin wie auch in einer angepassten Tätigkeit zu 50 % arbeitsfähig ist. Unstreitig ist ebenso die Ermittlung des Validen- und Invalideneinkommens gestützt auf die Lohnstrukturerhebung des Bundesamtes für Statistik (LSE 2012, Tabelle TA1, Privater Sektor, Frauen mit Kompetenzniveau 1), woraus nach Berücksichtigung des massgeblichen Arbeitspensums, einer betriebsüblichen wöchentlichen Arbeitszeit nach Wirtschaftsabteilungen und Anpassung an die Nominallohnentwicklung für das Jahr 2013 ein Valideneinkommen von          Fr. 41'394.97 bzw. ein Invalideneinkommen von Fr. 25'871.86, ohne Berücksichtigung eines leidensbedingten Abzugs, resultiert. Die Beschwerdeführerin rügt indessen, dass die Vorinstanz Bundesrecht verletzt hat, als sie der Beschwerdegegnerin einen Abzug von 20 % vom Tabellenlohn dafür gewährte, dass ihr unter Berücksichtigung der körperlichen, psychischen und kognitiven Einschränkungen selbst auf dem ausgeglichenen Arbeitsmarkt lediglich ein beschränktes Spektrum an Tätigkeiten zur Auswahl stehe.</w:t>
      </w:r>
    </w:p>
    <w:p>
      <w:r>
        <w:rPr>
          <w:b/>
        </w:rPr>
        <w:t>E. 4.2</w:t>
      </w:r>
    </w:p>
    <w:p>
      <w:r>
        <w:t>Vorliegend wurde bei der Beschwerdegegnerin eine emotional instabile Persönlichkeitsstörung des Borderline-Typus (ICD-10; F60.31) und rezidivierende depressive Störung (zu diesem Zeitpunkt remittiert), sowie ein chronisches Schulterimpingement rechts nach Dekompression, Bicepstenotomie, Supraspinatusrekonstruktion (ICD-10: M75.4, M75.1) diagnostiziert. Im polydisziplinären Gutachten vom 18. August 2015 kamen die Gutachter zum Schluss, dass die Versicherte mittelgradig in der Fähigkeit von Anwendung fachlicher Kompetenzen, in der Flexibilität, der Umstellungs-, Entscheidungs-, Urteils-, sowie in der Durchhaltefähigkeit eingeschränkt ist. Eine leichte Einschränkung liege in der Selbstbehauptung vor. Im Rahmen der emotional instabilen Persönlichkeitsstörung sei die Versicherte aufgrund der beschriebenen Einschränkungen in der bisherigen wie auch in einer adaptierten Tätigkeit zu 50 % arbeitsfähig, wobei von einer 100%igen Anwesenheit mit einer 50%igen Leistung ausgegangen wird. Die Versicherte sei in der Lage eine einfache, stressfreie Tätigkeit ohne Druck zu erbringen. Aus orthopädischer Sicht bestünden erhebliche Einschränkungen betreffend der Funktion der (dominanten) rechten Seite. So sollten keine Überkopfarbeiten vorkommen und auch einzelne Handgriffe über der Horizontalen seien schlecht möglich. Daneben sei die Kraft des rechten Armes auch unter der Horizontalen schmerzbedingt eingeschränkt. Die Beschwerden würden zeitabhängig zunehmen. Die neuropsychologischen Abklärungen vom 12. Oktober 2016 in der Psychiatrie X.________ ergaben, dass die Versicherte einen Gesamt-IQ-Wert von 73 aufweise, womit der Wert von 70 knapp nicht unterschritten werde, und folglich auch nicht die Diagnose einer leichten Intelligenzminderung gestellt werden könne. Dennoch sei von einer reduzierten Verfügbarkeit der kognitiven Ressourcen und somit von einer schnelleren Überforderung in schwierigen Situationen auszugehen. Solche erschwerten kognitiven Bedingungen (und entsprechend erschwerte Alltagsbewältigung) würden sich nicht selten negativ auf die Belastbarkeit auswirken.</w:t>
      </w:r>
    </w:p>
    <w:p>
      <w:r>
        <w:rPr>
          <w:b/>
        </w:rPr>
        <w:t>E. 4.3</w:t>
      </w:r>
    </w:p>
    <w:p>
      <w:r>
        <w:t>Zwar trifft es zu, wie die Beschwerdeführerin geltend macht, dass der ausgeglichene Arbeitsmarkt ein gewisses Angebot an Nischenarbeitsplätzen beinhaltet. Jedoch ist vorliegend zu beachten, dass unter Berücksichtigung der beträchtlichen psychischen Einschränkungen, welche insbesondere eine stressfreie Tätigkeit ohne Druck erfordern, die Beschwerdegegnerin verglichen mit einem gesunden Mitbewerber nur bei Inkaufnahme einer Lohneinbusse reale Chancen auf eine Anstellung hat (weiter vorne E. 3.5; Urteil 9C_955/2011 vom       7. November 2012 E. 5.3). Kommt hinzu, dass die Beschwerdegegnerin auf der dominanten rechten oberen Körperseite (Schulter, Arm und Hand) ebenfalls erheblich eingeschränkt ist, so dass das Spektrum an möglichen, - selbst bei einfachen und repetitiven - Tätigkeiten noch weiter reduziert wird (Urteil 8C_350/2013 vom 5. Juli 2013 E.3.3). In Bezug auf den Gesamt-IQ der Beschwerdegegnerin ist zu beachten, dass dieser mit 73 nur sehr knapp über der Grenze liegt, wonach eine geringe Intelligenz als gesundheitliche Beeinträchtigung im Sinne von Art. 7 Abs. 2 ATSG zu gelten hat (Urteile 8C_108/2014 vom 24. September 2014, E. 2.2, 8C_119/2008 vom 22. September 2008 E. 6.3.1, Ulrich Meyer, Bundesgesetz über die Invalidenversicherung [IVG],    3. Aufl. 2012 S. 37). Indessen schliesst ein dermassen niedriger Gesamt IQ-Wert eine entsprechende Berücksichtigung der daraus resultierenden Einschränkungen der kognitiven Ressourcen unter dem Titel des leidensbedingten Abzugs grundsätzlich nicht aus.</w:t>
      </w:r>
    </w:p>
    <w:p>
      <w:r>
        <w:rPr>
          <w:b/>
        </w:rPr>
        <w:t>E. 5</w:t>
      </w:r>
    </w:p>
    <w:p>
      <w:r>
        <w:t>Demzufolge hat die Vorinstanz kein Bundesrecht verletzt, als sie einen leidensbedingten Abzug bei der Berechnung des Invalideneinkommens berücksichtigte. In Bezug auf die Höhe des Abzugs hat sie ihr Ermessen auch nicht rechtsfehlerhaft ausgeübt, weshalb das Bundesgericht nicht korrigierend einzugreifen hat (vgl. BGE 132 V 393 E. 3.3 S. 399, Urteil 8C_179/2018 vom 22. Mai 2018 E. 5).</w:t>
      </w:r>
    </w:p>
    <w:p>
      <w:r>
        <w:rPr>
          <w:b/>
        </w:rPr>
        <w:t>E. 6</w:t>
      </w:r>
    </w:p>
    <w:p>
      <w:r>
        <w:t>Mit dem Entscheid in der Sache ist das Gesuch um aufschiebende Wirkung der Beschwerde gegenstandslos.</w:t>
      </w:r>
    </w:p>
    <w:p>
      <w:r>
        <w:rPr>
          <w:b/>
        </w:rPr>
        <w:t>E. 7</w:t>
      </w:r>
    </w:p>
    <w:p>
      <w:r>
        <w:t>Dem Ausgang des Verfahrens entsprechend hat die unterliegende Beschwerdeführerin die Gerichtskosten zu tragen (Art. 66 Abs. 1    Satz 1 BGG) und der anwaltlich vertretenen Beschwerdegegnerin eine Parteientschädigung auszurichten. Ihr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