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8C_297/2007 vom 3. Januar 2008</w:t>
      </w:r>
    </w:p>
    <w:p>
      <w:r>
        <w:t>Bundesgericht, 2008-01-03, DE</w:t>
      </w:r>
    </w:p>
    <w:p>
      <w:r>
        <w:rPr>
          <w:b/>
        </w:rPr>
        <w:t xml:space="preserve">Quelle: </w:t>
      </w:r>
      <w:r>
        <w:t>https://mcp.opencaselaw.ch/entscheid/bger_8C_297_2007</w:t>
      </w:r>
    </w:p>
    <w:p>
      <w:r>
        <w:t>FR: TF 8C_297/2007 du 3 janvier 2008</w:t>
      </w:r>
    </w:p>
    <w:p>
      <w:r>
        <w:t>IT: TF 8C_297/2007 del 3 gennaio 2008</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2.1</w:t>
      </w:r>
    </w:p>
    <w:p>
      <w:r>
        <w:t>Die Arbeitslosenkasse rügt die Ermessensausübung durch die Vorinstanz, welche die Dauer der Einstellung von 58 Tagen auf 35 Tage reduzierte.</w:t>
      </w:r>
    </w:p>
    <w:p>
      <w:r>
        <w:rPr>
          <w:b/>
        </w:rPr>
        <w:t>E. 2.2</w:t>
      </w:r>
    </w:p>
    <w:p>
      <w:r>
        <w:t>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123 V 150 E. 2 S. 152 mit Hinweisen). Dagegen liegt Ermessensüberschreitung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 BGE 116 V 307 E. 2 S. 310).</w:t>
      </w:r>
    </w:p>
    <w:p>
      <w:r>
        <w:rPr>
          <w:b/>
        </w:rPr>
        <w:t>E. 2.3</w:t>
      </w:r>
    </w:p>
    <w:p>
      <w:r>
        <w:t>Das kantonale Gericht hat die Reduktion der Einstelltage mit den schwierigen Umständen (Eigentümerwechsel, Funktionseinbusse) begründet. Dabei handelt es sich um eine Feststellung tatsächlicher Natur, an welche das Bundesgericht gebunden ist ( Art. 105 Abs. 1 und 2 BGG ); denn sie ist weder offensichtlich unrichtig noch kam sie unter Verletzung von Vorschriften im Sinne von Art. 95 BGG zu Stande. Da sich die Vorinstanz zudem an den Rahmen von 31 bis 60 Tagen ( Art. 45 Abs. 2 AVIV ) hielt, ihr von der Verwaltung abweichendes Ermessen hinreichend begründet hat und auf den Zweck der Einstellung (angemessene Mitbeteiligung am Schaden) verweist, kann auch nicht gesagt werden, sie habe ihr Ermessen missbraucht oder überschritten.</w:t>
      </w:r>
    </w:p>
    <w:p>
      <w:r>
        <w:rPr>
          <w:b/>
        </w:rPr>
        <w:t>E. 3</w:t>
      </w:r>
    </w:p>
    <w:p>
      <w:r>
        <w:t>Die Beschwerde ist offensichtlich unbegründet, weshalb sie im Verfahren nach Art. 109 BGG , insbesondere ohne Durchführung eines Schriftenwechsels und mit summarischer Begründung, erledigt wird.</w:t>
      </w:r>
    </w:p>
    <w:p>
      <w:r>
        <w:rPr>
          <w:b/>
        </w:rPr>
        <w:t>E. 4</w:t>
      </w:r>
    </w:p>
    <w:p>
      <w:r>
        <w:t>Das Verfahren ist kostenpflichtig. Als unterliegende Partei hat die Arbeitslosenkasse die Gerichtskosten zu tragen ( Art. 66 Abs. 1 BGG ; vgl. auch das in der Amtlichen Sammlung noch nicht publizierte Urteil 8C_179/2007 vom 25. September 2007,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