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8C_295/2015 vom 8. September 2015</w:t>
      </w:r>
    </w:p>
    <w:p>
      <w:r>
        <w:t>Bundesgericht, 2015-09-08, DE</w:t>
      </w:r>
    </w:p>
    <w:p>
      <w:r>
        <w:rPr>
          <w:b/>
        </w:rPr>
        <w:t xml:space="preserve">Quelle: </w:t>
      </w:r>
      <w:r>
        <w:t>https://mcp.opencaselaw.ch/entscheid/bger_8C_295_2015</w:t>
      </w:r>
    </w:p>
    <w:p>
      <w:r>
        <w:t>FR: TF 8C_295/2015 du 8 septembre 2015</w:t>
      </w:r>
    </w:p>
    <w:p>
      <w:r>
        <w:t>IT: TF 8C_295/2015 del 8 settembre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zur Leistungspflicht des Unfallversicherers nach Art. 6 UVG , zum Unfallbegriff ( Art. 4 ATSG ) sowie zur unfallähnlichen Körperschädigung ( Art. 9 Abs. 2 UVV ) zutreffend dargelegt. Darauf wird verwiesen.</w:t>
      </w:r>
    </w:p>
    <w:p>
      <w:r>
        <w:rPr>
          <w:b/>
        </w:rPr>
        <w:t>E. 3</w:t>
      </w:r>
    </w:p>
    <w:p>
      <w:r>
        <w:t>Es ist unbestritten, dass kein Unfall im Rechtssinne vorliegt, dass sich der Versicherte jedoch eine Körperschädigung im Sinne von Art. 9 Abs. 2 lit. c UVV zugezogen hat. Zu prüfen ist, ob die übrigen Tatbestandsmerkmale für den Leistungsanspruch aus Art. 9 Abs. 2 UVV erfüllt sind und der Vorfall vom 2. Mai 2013 als unfallähnliches Ereignis zu qualifizieren ist.</w:t>
      </w:r>
    </w:p>
    <w:p>
      <w:r>
        <w:rPr>
          <w:b/>
        </w:rPr>
        <w:t>E. 4</w:t>
      </w:r>
    </w:p>
    <w:p>
      <w:r>
        <w:t>Nach Auffassung des kantonalen Gerichts kam es beim Fitnesstraining des Versicherten nicht zu einer mehr als physiologisch normalen und psychologisch beherrschten Beanspruchung des Körpers. Damit hat es das einbeinige Hüpfen mit Schlagen der Knie in die Hände des Trainers als alltägliche Lebensverrichtung ohne Hinzutreten eines zur Unkontrollierbarkeit führenden Elementes qualifiziert ( BGE 139 V 327 E. 3.3.1 S. 329; 129 V 466 E. 4.3 S. 471 f.; SVR 2014 UV Nr. 29 S. 97, 8C_40/2014 E. 2.2.3). Dagegen richtet sich die Beschwerde.</w:t>
      </w:r>
    </w:p>
    <w:p>
      <w:r>
        <w:t>Die sportliche Aktivität allein als Anlass des für die Verletzung angeblich ursächlichen Bewegungsablaufs genügt nicht für die Bejahung des mit Blick auf den äusseren Faktor praxisgemäss erforderlichen gesteigerten Gefahrenpotenzials (SVR 2014 UV Nr. 30 S. 100, 8C_147/2014 E. 3.3). Der Versicherte hat während der Sprünge auf einem Bein gleichzeitig mit dem anderen Bein Kniestösse ausgeführt mit dem Ziel, einen Gegner, das heisst seinen Fitnesstrainer, zu treffen, welcher sich mit Handschuhen schützte. Von einem gleichmässigen Bewegungsablauf wie etwa beim Joggen kann damit nicht gesprochen werden (Urteil 8C_118/2008 vom 23. Oktober 2008 E. 3.3). Der Fall ist vielmehr zu vergleichen mit der vom Bundesgericht als unfallähnliches Geschehen qualifizierten Partnerübung im Rahmen eines Selbstverteidigungskurses. Das Bundesgericht hat wegen der Kraftanstrengung und den ständigen Belastungswechseln in kurzer Abfolge im Bewegungsablauf als Ganzem eine erhöhte Verletzungsgefahr angenommen (SVR 2014 UV Nr. 30 S. 100, 8C_147/2014 E. 3.5). Auch hier ist, ähnlich wie beim Squat-Jumping, von einer Gefahrenlage auszugehen, welche die Annahme eines mitwirkenden äusseren Faktors im Sinne der Rechtsprechung zu Art. 9 Abs. 2 UVV unterstützt (SVR 2014 UV Nr. 29 S. 97, 8C_40/2014 E. 3.1). Das kantonale Gericht hat des Weiteren in Betracht gezogen, dass die Übung zum normalen Trainingsprogramm des Versicherten gehört habe. Das Bundesgericht hat jedoch die Annahme der für die Qualifikation als unfallähnliches Geschehen erforderlichen Gefahrenlage auch nicht ausgeschlossen im Fall der Fitness-Instruktorin, die sich beim Squat-Jump verletzt hatte, obwohl dieser zu ihren alltäglichen, gewohnten Lebensvorrichtungen zählte (SVR 2014 UV Nr. 29 S. 97, 8C_40/2014 E. 3.2).</w:t>
      </w:r>
    </w:p>
    <w:p>
      <w:r>
        <w:rPr>
          <w:b/>
        </w:rPr>
        <w:t>E. 5</w:t>
      </w:r>
    </w:p>
    <w:p>
      <w:r>
        <w:t>Zusammengefasst ist die Knieverletzung durch eine unfallähnliche Körperschädigung im Sinne von Art. 9 Abs. 2 UVV verursacht worden, weshalb der Unfallversicherer dafür einzustehen hat.</w:t>
      </w:r>
    </w:p>
    <w:p>
      <w:r>
        <w:rPr>
          <w:b/>
        </w:rPr>
        <w:t>E. 6</w:t>
      </w:r>
    </w:p>
    <w:p>
      <w:r>
        <w:t>Das Verfahren ist kostenpflichtig ( Art. 65 BGG ). Die Gerichtskosten werden dem Prozessausgang entsprechend der unterliegenden Allianz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