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8C_294/2020 vom 27. Mai 2020</w:t>
      </w:r>
    </w:p>
    <w:p>
      <w:r>
        <w:t>Bundesgericht, 2020-05-27, DE</w:t>
      </w:r>
    </w:p>
    <w:p>
      <w:r>
        <w:rPr>
          <w:b/>
        </w:rPr>
        <w:t xml:space="preserve">Quelle: </w:t>
      </w:r>
      <w:r>
        <w:t>https://mcp.opencaselaw.ch/entscheid/bger_8C_294_2020</w:t>
      </w:r>
    </w:p>
    <w:p>
      <w:r>
        <w:t>FR: TF 8C_294/2020 du 27 mai 2020</w:t>
      </w:r>
    </w:p>
    <w:p>
      <w:r>
        <w:t>IT: TF 8C_294/2020 del 27 maggio 2020</w:t>
      </w:r>
    </w:p>
    <w:p>
      <w:pPr>
        <w:pStyle w:val="Heading2"/>
      </w:pPr>
      <w:r>
        <w:t>Volltext</w:t>
      </w:r>
    </w:p>
    <w:p>
      <w:r>
        <w:t>Bundesgericht</w:t>
      </w:r>
    </w:p>
    <w:p>
      <w:r>
        <w:t>Tribunal fédéral</w:t>
      </w:r>
    </w:p>
    <w:p>
      <w:r>
        <w:t>Tribunale federale</w:t>
      </w:r>
    </w:p>
    <w:p>
      <w:r>
        <w:t>Tribunal federal</w:t>
      </w:r>
    </w:p>
    <w:p>
      <w:r>
        <w:t>8C_294/2020</w:t>
      </w:r>
    </w:p>
    <w:p>
      <w:r>
        <w:t>Urteil vom 27. Mai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Kantonale Arbeitslosenkasse Schwyz, Lückenstrasse 8, 6430 Schwyz,</w:t>
      </w:r>
    </w:p>
    <w:p>
      <w:r>
        <w:t>Beschwerdegegnerin.</w:t>
      </w:r>
    </w:p>
    <w:p>
      <w:r>
        <w:t>Gegenstand</w:t>
      </w:r>
    </w:p>
    <w:p>
      <w:r>
        <w:t>Arbeitslosenversicherung (Prozessvoraussetzung),</w:t>
      </w:r>
    </w:p>
    <w:p>
      <w:r>
        <w:t>Beschwerde gegen den Entscheid des Verwaltungsgerichts des Kantons Schwyz</w:t>
      </w:r>
    </w:p>
    <w:p>
      <w:r>
        <w:t>vom 2. April 2020 (II 2020 23).</w:t>
      </w:r>
    </w:p>
    <w:p>
      <w:r>
        <w:t>Nach Einsicht</w:t>
      </w:r>
    </w:p>
    <w:p>
      <w:r>
        <w:t>in die Beschwerde vom 30. April 2020(Poststempel) gegen den Entscheid des Verwaltungsgerichts des Kantons Schwyz vom 2. April 2020,</w:t>
      </w:r>
    </w:p>
    <w:p>
      <w:r>
        <w:t>in die Mitteilung des Bundesgerichts vom 1. Mai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16. Mai 2019eingereichte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140 III 264 E. 2.3 S. 266; 134 V 53 E. 3.3 S. 60 und 133 IV 286 E. 1.4 S. 287),</w:t>
      </w:r>
    </w:p>
    <w:p>
      <w:r>
        <w:t>dass das kantonale Gericht dargelegt hat, weshalb der Beschwerdeführer der in Art. 55 Abs. 1 AVIG umschriebenen Schadenminderungspflicht nur in unzureichendem Umfang nachgekommen ist, was einen Anspruch auf Insolvenzentschädigung ausschliesst,</w:t>
      </w:r>
    </w:p>
    <w:p>
      <w:r>
        <w:t>dass es sich dabei mit den Parteivorbringen näher auseinandersetzte und unter Hinweis auf die dazu ergangene Rechtsprechung auch erklärte, weshalb das Fehlen jedwelcher Schritte zur Lohneintreibung abgesehen von einer telefonischen Abmahnung ungeachtet des Alters des Beschwerdeführers und der personellen wie auch juristischen Verflechtung zwischen der die Löhne nicht auszahlenden und seiner neuen Arbeitgeberin als objektiv unzureichend zu werten sei,</w:t>
      </w:r>
    </w:p>
    <w:p>
      <w:r>
        <w:t>dass der Beschwerdeführer darauf nicht hinreichend eingeht, sondern ausserhalb davon Liegendes thematisiert,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Staatssekretariat für Wirtschaft (SECO) schriftlich mitgeteilt.</w:t>
      </w:r>
    </w:p>
    <w:p>
      <w:r>
        <w:t>Luzern, 27.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