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294/2018 vom 28. Juni 2018</w:t>
      </w:r>
    </w:p>
    <w:p>
      <w:r>
        <w:t>Bundesgericht, 2018-06-28, DE</w:t>
      </w:r>
    </w:p>
    <w:p>
      <w:r>
        <w:rPr>
          <w:b/>
        </w:rPr>
        <w:t xml:space="preserve">Quelle: </w:t>
      </w:r>
      <w:r>
        <w:t>https://mcp.opencaselaw.ch/entscheid/bger_8C_294_2018</w:t>
      </w:r>
    </w:p>
    <w:p>
      <w:r>
        <w:t>FR: TF 8C 294/2018 du 28 juin 2018</w:t>
      </w:r>
    </w:p>
    <w:p>
      <w:r>
        <w:t>IT: TF 8C 294/2018 del 28 giugno 2018</w:t>
      </w:r>
    </w:p>
    <w:p>
      <w:pPr>
        <w:pStyle w:val="Heading2"/>
      </w:pPr>
      <w:r>
        <w:t>Regeste</w:t>
      </w:r>
    </w:p>
    <w:p>
      <w:r>
        <w:t>Arbeitslosenversicherung (Zwischenverdienst; Rückerstattung)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Streitig und zu prüfen ist, ob der Versicherte für die von Januar bis Dezember 2014 bezogene Arbeitslosenentschädigung im Umfang von Fr. 27'684.90 rückerstattungspflichtig ist.</w:t>
      </w:r>
    </w:p>
    <w:p>
      <w:r>
        <w:rPr>
          <w:b/>
        </w:rPr>
        <w:t>E. 3</w:t>
      </w:r>
    </w:p>
    <w:p>
      <w:r>
        <w:t>Das kantonale Gericht stellte fest, der Beschwerdeführer sei von 1988 bis Ende Februar 2013 - gemäss Angaben des Versicherten zuletzt in einem Teilzeitpensum - für die B.________ AG in leitender Stellung tätig gewesen. Nachdem er Antrag auf Arbeitslosenentschädigung ab März 2013 gestellt habe, habe die Arbeitslosenkasse den versicherten Verdienst auf Fr. 3'250.- und die Taggeldleistung auf Fr. 119.80 festgesetzt. Ab Oktober 2013 sei der Versicherte für die C.________ GmbH tätig gewesen. In den Formularen "Angaben der versicherten Person für den Monat" habe er diese Erwerbstätigkeit indessen nie aufgeführt. Vielmehr habe er die Frage, ob er in der Kontrollperiode bei einem oder mehreren Arbeitgebern gearbeitet habe, ausdrücklich verneint. Gestützt auf diese falschen Angaben habe die Kasse, welche zu jenem Zeitpunkt keine Kenntnis von der Tätigkeit des Beschwerdeführers im Geschäft seines Bruders gehabt habe, in den massgebenden Monaten Januar bis Dezember 2014 zweifellos zu Unrecht Taggelder ausbezahlt. Da auch die erhebliche Bedeutung der Berichtigung gegeben sei, habe die Kasse die betreffenden Leistungsabrechnungen zu Recht in Wiedererwägung gezogen und die zu viel bezahlte Arbeitslosenentschädigung im Umfang von Fr. 27'684.90 zurückgefordert.</w:t>
      </w:r>
    </w:p>
    <w:p>
      <w:r>
        <w:rPr>
          <w:b/>
        </w:rPr>
        <w:t>E. 4.1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 Im Verfahren betreffend Rückforderung zu viel bezahlter Arbeitslosenentschädigung steht somit die Frage im Zentrum, ob der Beschwerdeführer Leistungen zu Unrecht erhalten hat und bejahendenfalls, ob auf die bisherigen Leistungsabrechnungen aufgrund eines Rückkommenstitels zurückgekommen werden kann. Die Frage, ob der Beschwerdeführer die Leistungen in gutem Glauben empfangen hatte, ist indessen nicht Gegenstand des vorliegenden Verfahrens. Vielmehr wird der Grundsatz von Treu und Glauben im Bereich der Rückerstattung unrechtmässig bezogener Leistungen durch Art. 25 Abs. 1 Satz 2 ATSG konkretisiert, wonach, wer Leistungen in gutem Glauben empfangen hat, sie nicht zurückerstatten muss, wenn eine grosse Härte vorliegt (Urteil C 264/05 vom 25. Januar 2006 E. 2.1 mit Hinweis). Insoweit zielen sämtliche Ausführungen in der Beschwerde zu den Gründen der Nichtdeklaration des im Geschäft seines Bruders erzielten Erwerbseinkommens an der Sache vorbei. Auch die Frage, ob der zuständige RAV-Berater seine Beratungs- und Auskunftspflicht gemäss Art. 27 Abs. 1 ATSG verletzt hat, ist hier nicht massgebend. Eine Diskussion darüber ist erst bei der Prüfung des Erlasses (vgl. Art. 25 Abs. 1 Satz 2 ATSG i.V.m. Art. 4 f. ATSG) angezeigt, welche an einen rechtskräftigen Entscheid über die Rückforderung anknüpft (vgl. Art. 4 Abs. 4 ATSV ). Dasselbe gilt in Bezug auf die Rüge des Beschwerdeführers, die Vorinstanz habe den Sachverhalt offensichtlich unrichtig festgestellt, indem sie davon ausgegangen sei, er habe gegenüber seinem RAV-Berater nur ein einziges Mal und erst im April 2014 erwähnt, dass er lediglich eine Tätigkeit in einem 50 %-Pensum suche. Inwiefern diese Sachverhaltsfeststellung für den Ausgang des vorliegenden Verfahrens entscheidend sein soll, ist nicht ersichtlich, weshalb sich Weiterungen hierzu erübrigen (vgl. E. 1 hiervor).</w:t>
      </w:r>
    </w:p>
    <w:p>
      <w:r>
        <w:rPr>
          <w:b/>
        </w:rPr>
        <w:t>E. 4.2</w:t>
      </w:r>
    </w:p>
    <w:p>
      <w:r>
        <w:t>Der Beschwerdeführer bestreitet sodann, Leistungen zu Unrecht erhalten zu haben. Er habe lediglich eine Entschädigung basierend auf einer 50%igen Arbeitslosigkeit erhalten. Es treffe demnach nicht zu, dass er 100 % Arbeitslosentaggeld und zusätzlich 50 % Lohn bezogen habe.</w:t>
      </w:r>
    </w:p>
    <w:p>
      <w:r>
        <w:rPr>
          <w:b/>
        </w:rPr>
        <w:t>E. 4.2.1</w:t>
      </w:r>
    </w:p>
    <w:p>
      <w:r>
        <w:t>Der Anspruch auf Arbeitslosenentschädigung setzt unter anderem voraus, dass die versicherte Person einen anrechenbaren Arbeitsausfall erlitten hat (Art. 8 Abs. 1 lit. b in Verbindung mit Art. 11 AVIG ). Ein solcher Arbeitsausfall liegt gemäss Art. 11 Abs. 1 AVIG dann vor, wenn er einen Verdienstausfall zur Folge hat und mindestens zwei aufeinanderfolgende volle Arbeitstage dauert. Kumulativ erforderlich sind somit ein Verdienst- und ein Mindestarbeitsausfall. Als Verdienstausfall gilt die Differenz zwischen dem in der Kontrollperiode erzielten Zwischenverdienst, mindestens aber dem berufs- und ortsüblichen Ansatz für die betreffende Arbeit, und dem versicherten Verdienst   ( Art. 24 Abs. 3 Satz 1 AVIG ).</w:t>
      </w:r>
    </w:p>
    <w:p>
      <w:r>
        <w:rPr>
          <w:b/>
        </w:rPr>
        <w:t>E. 4.2.2</w:t>
      </w:r>
    </w:p>
    <w:p>
      <w:r>
        <w:t>Ausgehend von einem unbestrittenen versicherten Verdienst von Fr. 3'250.- erlitt der Beschwerdeführer nach Aktenlage im Jahr 2014 lediglich in den Monaten März, April und September einen Verdienstausfall. In den übrigen Monaten verdiente er bei der C.________ GmbH zwischen Fr. 3'535.- und Fr. 9'530.-. In jenen Monaten scheidet ein Anspruch auf Arbeitslosenentschädigung mangels eines Verdienstausfalles von Vornherein aus (vgl. Art. 8 Abs. 1 lit. b i.V.m. Art. 11 und 24 AVIG ). Die Arbeitslosigkeit gilt insofern als unterbrochen (vgl.  THOMAS NUSSBAUMER, Arbeitslosenversicherung, in: Schweizerisches Bundesverwaltungsrecht [SBVR], Soziale Sicherheit, 3. Aufl. 2016, Rz. 414 S. 2388). Für die Monate März und September 2014 hat die Beschwerdegegnerin sodann das Erwerbseinkommen als Zwischenverdienst berücksichtigt und den Anspruch auf Kompensationszahlungen im Sinne von Art. 41a ALV bejaht, was nicht zu beanstanden ist. Da das Einkommen im Monat April 2014 über der dem Beschwerdeführer zustehenden Arbeitslosenentschädigung lag, bestand für diesen Monat kein Anspruch auf Kompensationszahlungen (vgl. Art. 41a   Abs. 1 AVIV). Der Beschwerdeführer behauptet nicht, dass die Neuberechnung der Arbeitslosenentschädigung durch die Arbeitslosenkasse mit Mängeln behaftet sein soll. Fehler sind denn auch keine ersichtlich. Demnach hat die Vorinstanz zutreffend erkannt, dass der Beschwerdeführer zu Unrecht Leistungen der Arbeitslosenversicherung bezogen hat. Unrechtmässig ist die Leistungsausrichtung nämlich dann, wenn sie ohne Rechtsgrund erfolgte oder in betraglicher Hinsicht zu hoch ausgefallen ist (THOMAS NUSSBAUMER, a.a.O., Rz. 89      S. 2293).</w:t>
      </w:r>
    </w:p>
    <w:p>
      <w:r>
        <w:rPr>
          <w:b/>
        </w:rPr>
        <w:t>E. 4.2.3</w:t>
      </w:r>
    </w:p>
    <w:p>
      <w:r>
        <w:t>Der Beschwerdeführer macht vor Bundesgericht - wie auch schon im kantonalen Rechtsmittelverfahren - nicht geltend, die Rückkommensvoraussetzungen seien nicht erfüllt. Da auch keine rechtlichen Mängel in der Beurteilung des kantonalen Gerichts offensichtlich sind, hat es bei der Bejahung eines Rückkommenstitels sein Bewenden (vgl. E. 1 hiervor). Dasselbe gilt in Bezug auf den in masslicher Hinsicht unbestrittenen Rückforderungsbetrag.</w:t>
      </w:r>
    </w:p>
    <w:p>
      <w:r>
        <w:rPr>
          <w:b/>
        </w:rPr>
        <w:t>E. 5</w:t>
      </w:r>
    </w:p>
    <w:p>
      <w:r>
        <w:t>Demnach bleibt es bei der im angefochtenen Entscheid bestätigten Rückerstattungspflicht des Beschwerdeführers. Die hiergegen erhobenen Einwände sind nach dem Gesagten unbegründet und die Beschwerde ist folglich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