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8C_290/2019 vom 25. September 2019</w:t>
      </w:r>
    </w:p>
    <w:p>
      <w:r>
        <w:t>Bundesgericht, 2019-09-25, DE</w:t>
      </w:r>
    </w:p>
    <w:p>
      <w:r>
        <w:rPr>
          <w:b/>
        </w:rPr>
        <w:t xml:space="preserve">Quelle: </w:t>
      </w:r>
      <w:r>
        <w:t>https://mcp.opencaselaw.ch/entscheid/bger_8C_290_2019</w:t>
      </w:r>
    </w:p>
    <w:p>
      <w:r>
        <w:t>FR: TF 8C_290/2019 du 25 septembre 2019</w:t>
      </w:r>
    </w:p>
    <w:p>
      <w:r>
        <w:t>IT: TF 8C_290/2019 del 25 settembre 2019</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als sie dem Versicherten keine höhere als eine Viertelsrente der Invalidenversicherung zusprach.</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4.1</w:t>
      </w:r>
    </w:p>
    <w:p>
      <w:r>
        <w:t>Es steht fest und ist letztinstanzlich unbestritten, dass sich der Gesundheitszustand des Versicherten seit der Rentenaufhebung auf Oktober 2011 verschlechtert hat und dieser nunmehr, seit dem 1. Dezember 2015, Anspruch auf eine Rente der Invalidenversicherung hat. Streitig ist demgegenüber der aktuelle Gesundheitszustand und die aus diesem sich ergebenden erwerblichen Einschränkungen des Versicherten. Während die angestammte Tätigkeit als Chauffeur/Bauarbeiter unbestrittenermassen nicht mehr zumutbar ist, stellte das kantonale Gericht in umfassender Würdigung der medizinischen Akten, insbesondere aber gestützt auf das Gutachten des ABI vom 3. Juli 2017 (mit ergänzender Stellungnahme vom 27. Februar 2018), für das Bundesgericht grundsätzlich verbindlich fest, dass der Versicherte in einer angepassten Tätigkeit zu 70 % arbeits- und leistungsfähig wäre. Was der Beschwerdeführer gegen diese Feststellung vorbringt, vermag sie nicht als offensichtlich unrichtig oder als sonstwie bundesrechtswidrig erscheinen zu lassen. Auf ein im Verfahren nach Art. 44 ATSG eingeholtes Gutachten ist rechtsprechungsgemäss abzustellen, wenn nicht konkrete Indizien gegen die Zuverlässigkeit der Expertise sprechen ( BGE 135 V 465 E. 4.4 S. 470). Solche Indizien liegen - wie nachstehende Erwägungen zeigen - entgegen den Vorbringen des Versicherten nicht vor.</w:t>
      </w:r>
    </w:p>
    <w:p>
      <w:r>
        <w:rPr>
          <w:b/>
        </w:rPr>
        <w:t>E. 4.2</w:t>
      </w:r>
    </w:p>
    <w:p>
      <w:r>
        <w:t>Soweit der Versicherte die Zuverlässigkeit des psychiatrischen Teilgutachtens mit dem Argument in Zweifel zieht, die Dauer des Explorationsgesprächs sei zu kurz gewesen, hat die Vorinstanz zu Recht erwogen, dass es nicht auf die Dauer der Untersuchung ankommt; massgebend ist in erster Linie, ob die Expertise inhaltlich vollständig und im Ergebnis schlüssig ist (vgl. Urteil 8C_356/2018 vom 14. März 2019 E. 4.2 mit weiteren Hinweisen). Dies ist vorliegend entgegen den Ausführungen des Beschwerdeführers zu bejahen. So legte der psychiatrische Experte nachvollziehbar dar, weshalb er unter anderem aufgrund der Aktivitäten des Versicherten eine schwere Depression ausgeschlossen hat. Damit hat der Gutachter auch zum Ausdruck gebracht, dass er diese abweichende Diagnose anderer medizinischer Fachpersonen zur Kenntnis genommen und ernsthaft geprüft, letztlich jedoch verworfen hat. Im Weiteren mag der Versicherte aufgrund der Inkontinenz Scham- und Angstgefühle erleiden; gerade weil diese Beeinträchtigungen jedenfalls bis zu einem gewissen Grad nachvollziehbar sind, erscheint es als einleuchtend, dass sie vom psychiatrischen Experten nicht als Ausdruck einer psychischen Erkrankung gewertet wurden.</w:t>
      </w:r>
    </w:p>
    <w:p>
      <w:r>
        <w:rPr>
          <w:b/>
        </w:rPr>
        <w:t>E. 4.3</w:t>
      </w:r>
    </w:p>
    <w:p>
      <w:r>
        <w:t>Entgegen den Vorbringen des Beschwerdeführers enthält der Bericht der Dr. med. B.________, Fachärztin FMH für Innere Medizin und Rheumatologie, vom 20. November 2017 keine konkreten Indizien, welche gegen die Schlüssigkeit des rheumatologischen Gutachtens sprechen. Soweit ihre Diagnosen von denen des Gutachters vordergründig abweichen, ergibt sich bei näherer Betrachtung, dass der Gutachter die sehr präzisen und ausführlichen Diagnosen der behandelnden Rheumatologin zu einem polytopen Schmerzsyndrom des Bewegungsapparates zusammenfasst. Daraus kann jedoch nicht abgeleitet werden, der Gutachter hätte ein wesentliches von der behandelnden Rheumatologin diagnostiziertes Leiden übersehen. Soweit die Rheumatologin weiter die Schätzung der Arbeitsfähigkeit durch die Gutachter in Zweifel zieht, begründet sie dies nicht mit rheumatologischen Leiden, sondern in erster Linie mit den Darmproblemen und dem depressiven Zustandsbild. Solche Äusserungen jenseits der Grenzen ihres Fachgebietes vermögen aber die gutachterlichen Einschätzungen nicht in Zweifel zu ziehen. Weiter ging auch der rheumatologische Gutachter von einem zervikospondylogenen und lumbospondylogenen Syndrom aus, und hat somit die Rückenproblematik in seine Beurteilung miteinbezogen. Nicht nachzuvollziehen sind schliesslich die Ausführungen des Versicherten, weshalb "die vom Gutachter festgestellte 20%ige Arbeitsunfähigkeit in keinem rechtlich zulässigen Verhältnis zu den von ihm getätigten Feststellungen" sein sollten.</w:t>
      </w:r>
    </w:p>
    <w:p>
      <w:r>
        <w:rPr>
          <w:b/>
        </w:rPr>
        <w:t>E. 4.4</w:t>
      </w:r>
    </w:p>
    <w:p>
      <w:r>
        <w:t>Auch hinsichtlich seiner Rügen zum gastroenterologischen Teilgutachten vermag der Versicherte nicht durchzudringen: Hinsichtlich der Dauer des Explorationsgespräches gilt das zum psychiatrischen Teilgutachten Ausgeführte (vgl. E. 4.2 hievor); zudem ist zu beachten, dass die gastroenterologischen Diagnosen unter den beteiligten Fachpersonen unbestritten sind. Nachvollziehbar ist auch, dass trotz der Inkontinenz Tätigkeiten, bei denen der Versicherte jederzeit eine Toilette aufsuchen kann, grundsätzlich zumutbar bleiben. Im Weiteren waren die nächtlichen Stuhlgänge dem Experten bekannt, so dass sie keinen Grund darstellen, die Schlüssigkeit und Vollständigkeit seiner Einschätzungen in Zweifel zu ziehen.</w:t>
      </w:r>
    </w:p>
    <w:p>
      <w:r>
        <w:rPr>
          <w:b/>
        </w:rPr>
        <w:t>E. 4.5</w:t>
      </w:r>
    </w:p>
    <w:p>
      <w:r>
        <w:t>Wie der Beschwerdeführer selber einräumt, haben die Gutachter deutlich zum Ausdruck gebracht, dass sich die Arbeitsunfähigkeiten der einzelnen Fachgebiete ihres Erachtens nur geringfügig kumulieren und dass von einer Arbeits- und Leistungsfähigkeit von 70 % (bei vollzeitlicher Anwesenheit am Arbeitsplatz und erhöhtem Pausenbedarf) auszugehen ist. Nicht nachvollziehbar ist demgemäss, wenn der Beschwerdeführer geltend macht, die gesamte Arbeitsfähigkeit würde auch aus Sicht der ABI-Gutachter erheblich weniger als 70 % ausmachen. Das Abstellen der Vorinstanz auf die von den Gutachtern festgestellte Arbeits- und Leistungsfähigkeit von 70 % erweist sich demnach als nicht bundesrechtswidrig. Damit ist die Beschwerde des Versicherten bei ansonsten unbestritten gebliebener Invaliditätsbemessung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