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8C_28/2024 vom 20. Februar 2024</w:t>
      </w:r>
    </w:p>
    <w:p>
      <w:r>
        <w:t>Bundesgericht, 2024-02-20, DE</w:t>
      </w:r>
    </w:p>
    <w:p>
      <w:r>
        <w:rPr>
          <w:b/>
        </w:rPr>
        <w:t xml:space="preserve">Quelle: </w:t>
      </w:r>
      <w:r>
        <w:t>https://mcp.opencaselaw.ch/entscheid/bger_8C_28_2024</w:t>
      </w:r>
    </w:p>
    <w:p>
      <w:r>
        <w:t>FR: TF 8C_28/2024 du 20 février 2024</w:t>
      </w:r>
    </w:p>
    <w:p>
      <w:r>
        <w:t>IT: TF 8C_28/2024 del 20 febbraio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w:t>
      </w:r>
    </w:p>
    <w:p>
      <w:r>
        <w:rPr>
          <w:b/>
        </w:rPr>
        <w:t>E. 2</w:t>
      </w:r>
    </w:p>
    <w:p>
      <w:r>
        <w:t>Die Vorinstanz hat festgestellt, es bestehe kein Zweifel daran, dass sich der Wohnsitz des Beschwerdeführers im Zeitpunkt der Beschwerdeeinreichung am 3. Januar 2024 im Kanton Luzern (B.________) befunden habe. Entsprechend ist sie zum Schluss gelangt, dass sie für die Beurteilung der Eingabe gemäss Art. 58 Abs. 1 ATSG nicht zuständig sei und hat auf ein Nichteintreten erkannt mit gleichzeitiger Überweisung der Sache an das zuständige Kantonsgericht Luzern.</w:t>
      </w:r>
    </w:p>
    <w:p>
      <w:r>
        <w:rPr>
          <w:b/>
        </w:rPr>
        <w:t>E. 3</w:t>
      </w:r>
    </w:p>
    <w:p>
      <w:r>
        <w:t>Der Beschwerdeführer zeigt nicht auf, inwieweit die vom kantonalen Gericht getroffene Sachverhaltsfeststellung betreffend Wohnsitz am 3. Januar 2024 offensichtlich unrichtig oder sonstwie bundesrechtswidrig sein sollte (vgl. E. 1 oben). Er bestätigt gar, dass er sich Ende 2023 in C.________ abgemeldet und am 1. Januar 2024 in B.________ angemeldet habe. Ebenso wenig tut er dar, weshalb das auf dem erhobenen Beweisergebnis beruhende Nichteintreten der Vorinstanz gegen Bundesrecht verstossen oder einen anderen Beschwerdegrund gesetzt haben könnte. Soweit er sich mit der materiellen Seite des Falles befasst, ist die Begründung nicht sachbezogen (vgl. BGE 139 II 233 E. 3.2; 135 II 172 E. 2.2.2).</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 In Anwendung von Art. 66 Abs. 1 Satz 2 BGG wird jedoch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