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28/2007 vom 9. Oktober 2007</w:t>
      </w:r>
    </w:p>
    <w:p>
      <w:r>
        <w:t>Bundesgericht, 2007-10-09, DE</w:t>
      </w:r>
    </w:p>
    <w:p>
      <w:r>
        <w:rPr>
          <w:b/>
        </w:rPr>
        <w:t xml:space="preserve">Quelle: </w:t>
      </w:r>
      <w:r>
        <w:t>https://mcp.opencaselaw.ch/entscheid/bger_8C_28_2007</w:t>
      </w:r>
    </w:p>
    <w:p>
      <w:r>
        <w:t>FR: TF 8C 28/2007 du 9 octobre 2007</w:t>
      </w:r>
    </w:p>
    <w:p>
      <w:r>
        <w:t>IT: TF 8C 28/2007 del 9 ottobre 2007</w:t>
      </w:r>
    </w:p>
    <w:p>
      <w:pPr>
        <w:pStyle w:val="Heading2"/>
      </w:pPr>
      <w:r>
        <w:t>Regeste</w:t>
      </w:r>
    </w:p>
    <w:p>
      <w:r>
        <w:t>Ergänzungsleistung zur AHV/IV | Ergänzungsleistung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 Die beschwerdeführende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 Neue Tatsachen und Beweismittel dürfen nur soweit vorgebracht werden, als der Entscheid der Vorinstanz dazu Anlass gibt. Neue Begehren sind unzulässig ( Art. 99 Abs. 1 und 2 BGG ). Das Bundesgericht darf nicht über die Begehren der Parteien hinausgehen ( Art. 107 Abs. 1 BGG ).</w:t>
      </w:r>
    </w:p>
    <w:p>
      <w:r>
        <w:rPr>
          <w:b/>
        </w:rPr>
        <w:t>E. 2</w:t>
      </w:r>
    </w:p>
    <w:p>
      <w:r>
        <w:t>Gemäss Art. 38 Abs. 1 ELV (in Kraft seit 1. Januar 2003) sind das Bundesamt und die beteiligten kantonalen Durchführungsstellen befugt, gegen Entscheide des kantonalen Versicherungsgerichts Verwaltungsgerichtsbeschwerde beim Eidgenössischen Versicherungsgericht bzw. seit 1. Januar 2007 Beschwerde beim Bundesgericht zu führen. Im Kanton Zürich sind die politischen Gemeinden EL-Durchführungsstellen (§ 2 des Zürcher Gesetzes über die Zusatzleistungen zur eidgenössischen AHV/IV vom 7. Februar 1971 [Zusatzleistungsgesetz; LS 831.3]). Die Gemeinde X.________ ist demnach zur Beschwerdeführung beim Bundesgericht legitimiert (vgl. auch BGE 132 V 74 E. 4.1.1 S. 79 und E. 5 S. 81; Urteil des Bundesgerichts P 53/06 vom 24. September 2007, E. 3). Die Sozialversicherungsanstalt des Kantons Aargau ist passivlegitimiert, da der Kanton Aargau diese mit der EL-Durchführung betraut hat (§ 16 des aargauischen Gesetzes über die Ergänzungsleistungen zur AHV und IV [Ergänzungsleistungsgesetz; SAR 831.200]; vgl. auch BGE 132 V 74 E. 4.1.1 S. 79).</w:t>
      </w:r>
    </w:p>
    <w:p>
      <w:r>
        <w:rPr>
          <w:b/>
        </w:rPr>
        <w:t>E. 3</w:t>
      </w:r>
    </w:p>
    <w:p>
      <w:r>
        <w:t>Die Vorinstanz hat die Bestimmungen und Grundsätze über die örtliche Zuständigkeit für die Festsetzung und Auszahlung der Ergänzungsleistungen ( Art. 1a Abs. 3 ELG ) sowie den Begriff des Wohnsitzes ( Art. 1 Abs. 1 ELG in Verbindung mit Art. 13 Abs. 1 ATSG ; Art. 23 Abs. 1, Art. 24 Abs. 1 und Art. 26 ZGB ; BGE 133 V 309 ff., 132 V 74 E. 4.1.2 S. 79, 131 V 59 E. 6.1 S. 65, 127 V 237 ff., je mit Hinweisen; SVR 2006 EL Nr. 7 S. 25 E. 4.1, P 21/04; Rz. 1002 ff. der vom BSV herausgegebenen Wegleitung über die Ergänzungsleistungen zur AHV und IV [WEL]) zutreffend dargelegt. Darauf wird verwiesen.</w:t>
      </w:r>
    </w:p>
    <w:p>
      <w:r>
        <w:rPr>
          <w:b/>
        </w:rPr>
        <w:t>E. 4.1</w:t>
      </w:r>
    </w:p>
    <w:p>
      <w:r>
        <w:t>Die Vorinstanz hat in Würdigung der Akten mit einlässlicher Begründung, auf die verwiesen wird ( Art. 109 Abs. 3 BGG ), richtig erkannt, dass die Versicherte ab 10. Mai 2004, dem definitiven Eintritt ins Alterswohnheim "Y.________" in der Gemeinde X.________, hier Wohnsitz hatte, weshalb ab diesem Zeitpunkt diese Gemeinde und nicht die Sozialversicherungsanstalt des Kantons Aargau für die Festsetzung und Auszahlung der Ergänzungsleistungen zuständig ist. Hieran hat sich bis zum massgebenden Zeitpunkt des Einspracheentscheides vom 11. Juli 2006 ( BGE 129 V 167 E. 1 S. 169) nichts geändert. Der Vorinstanz ist beizupflichten, dass die am 5. Dezember 2005 durch die Gemeinde Z.________ über die Versicherte errichtete Beiratschaft nach Art. 395 Abs. 1 und 2 ZGB auf ihren Wohnsitz keinen Einfluss hatte (Hans Michael Riemer, Personenrecht des ZGB, 2. Aufl., Bern 2002, S. 105 Rz. 199; derselbe, Grundriss des Vormundschaftsrechts, 2. Aufl., Bern 1997, S. 115 Rz. 16; Mario M. Pedrazzini/Niklaus Oberholzer, Grundriss des Personenrechts, 4. Aufl., Bern 1993, S. 110; Eugen Bucher, Berner Kommentar, Das Personenrecht, 2. Abteilung, 1. Teilbd., Bern 1976, N. 94 zu Art. 25 ZGB ).</w:t>
      </w:r>
    </w:p>
    <w:p>
      <w:r>
        <w:rPr>
          <w:b/>
        </w:rPr>
        <w:t>E. 4.2</w:t>
      </w:r>
    </w:p>
    <w:p>
      <w:r>
        <w:t>Die letztinstanzlichen Einwendungen der Beschwerdeführerin vermögen zu keinem anderen Ergebnis zu führen.</w:t>
      </w:r>
    </w:p>
    <w:p>
      <w:r>
        <w:rPr>
          <w:b/>
        </w:rPr>
        <w:t>E. 4.2.1</w:t>
      </w:r>
    </w:p>
    <w:p>
      <w:r>
        <w:t>Sie macht geltend, die Versicherte sei vermindert urteilsfähig gewesen und habe eigentlich gar keine Wahl gehabt, in welches Heim sie eintrete wolle; der Entscheid für den Eintrit ins Alterswohnheim "Y.________" sei von Dritten gefällt worden. Diesbezüglich ist festzuhalten, dass Feststellungen über innere oder psychische Tatsachen, wie beispielsweise was jemand wollte oder wusste, Tatfragen sind ( BGE 130 IV 58 E. 8.5 S. 62, 125 III 435 E. 2a/aa S. 436, 124 III S. 182 E. 3 184; Urteil des Bundesgerichts 9C_402/2007 vom 18. Juli 2007, E. 1.2, und des Eidg. Versicherungsgerichts I 693/06 vom 20. Dezember 2006, E. 4.1). Die Vorinstanz stellte auf Grund der Akten fest, die Versicherte habe sich am 10. Mai 2004, dem Datum der Unterzeichnung des Vertrages mit dem Alterswohnheim "Y.________", für einen Wohnsitzwechsel nach X.________ entschieden und sei bezüglich dieser Entscheidung urteilsfähig gewesen. Es kann nicht gesagt werden, dass sie den Sachverhalt diesbezüglich offensichtlich unrichtig respektive auf Grund einer Rechtsverletzung festgestellt hat ( Art. 97 Abs. 1 und Art. 105 Abs. 2 BGG ), zumal an die erforderliche ( Art. 18 ZGB ), vom Gesetz vermutete ( Art. 16 ZGB ) Urteilsfähigkeit im Bereich der Wohnsitzfrage ohnehin keine strengen Anforderungen gestellt werden ( BGE 127 V 237 E. 2c S. 240 mit Hinweisen).</w:t>
      </w:r>
    </w:p>
    <w:p>
      <w:r>
        <w:rPr>
          <w:b/>
        </w:rPr>
        <w:t>E. 4.2.2</w:t>
      </w:r>
    </w:p>
    <w:p>
      <w:r>
        <w:t>Unbehelflich ist weiter das Vorbringen der Beschwerdeführerin, im Kanton Aargau habe im Frühjahr 2004 eine Unterversorgung von Heimplätzen für Demenzkranke geherrscht, weshalb die Versicherte z.B. vom Altersheim an ihrem Wohnort nicht hätte aufgenommen werden können; die fehlende Wahlmöglichkeit habe schliesslich zur Unterbringung der Versicherten im Kanton Zürich geführt. Die Vorinstanz hat zu Recht erkannt, dass es irrelevant ist, ob der Heimeintritt allenfalls unter dem Zwang der Umstände (etwa Angewiesensein auf Betreuung, finanzielle Gründe) erfolgte. Nicht massgebend ist auch, dass die Versicherte ihre Schriften weiterhin in Z.________ hinterlegt hatte ( BGE 133 V 309 E. 3.1 und E. 3.3 S. 312 f., 127 V 237 E. 2c S. 241, je mit Hinweisen).</w:t>
      </w:r>
    </w:p>
    <w:p>
      <w:r>
        <w:rPr>
          <w:b/>
        </w:rPr>
        <w:t>E. 5</w:t>
      </w:r>
    </w:p>
    <w:p>
      <w:r>
        <w:t>Bei diesem Verfahrensausgang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