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289/2016 vom 20. Juni 2016</w:t>
      </w:r>
    </w:p>
    <w:p>
      <w:r>
        <w:t>Bundesgericht, 2016-06-20, DE</w:t>
      </w:r>
    </w:p>
    <w:p>
      <w:r>
        <w:rPr>
          <w:b/>
        </w:rPr>
        <w:t xml:space="preserve">Quelle: </w:t>
      </w:r>
      <w:r>
        <w:t>https://mcp.opencaselaw.ch/entscheid/bger_8C_289_2016</w:t>
      </w:r>
    </w:p>
    <w:p>
      <w:r>
        <w:t>FR: TF 8C 289/2016 du 20 juin 2016</w:t>
      </w:r>
    </w:p>
    <w:p>
      <w:r>
        <w:t>IT: TF 8C 289/2016 del 20 giugno 2016</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8C_119/2016 vom 20. Mai 2016 E. 1.2 mit Hinweis).</w:t>
      </w:r>
    </w:p>
    <w:p>
      <w:r>
        <w:rPr>
          <w:b/>
        </w:rPr>
        <w:t>E. 2.1</w:t>
      </w:r>
    </w:p>
    <w:p>
      <w:r>
        <w:t>Streitig und zu prüfen ist, ob das kantonale Gericht Bundesrecht verletzte, indem es die revisionsweise Aufhebung der ganzen Invalidenrente bestätigte.</w:t>
      </w:r>
    </w:p>
    <w:p>
      <w:r>
        <w:rPr>
          <w:b/>
        </w:rPr>
        <w:t>E. 2.2</w:t>
      </w:r>
    </w:p>
    <w:p>
      <w:r>
        <w:t>Im angefochtenen Entscheid werden die gesetzlichen Bestimmungen und die von der Rechtsprechung entwickelten Grundsätze, namentlich diejenigen zum Begriff der Erwerbsunfähigkeit ( Art. 7 ATSG ) und der Invalidität ( Art. 8 Abs. 1 ATSG in Verbindung mit Art. 4 Abs. 1 IVG ) sowie zum Beweiswert und zur Beweiswürdigung ärztlicher Berichte und Gutachten ( BGE 137 V 210 E. 6.2.2 S. 269; 134 V 231 E. 5.1 S. 232; 125 V 351 E. 3a S. 352) richtig dargelegt. Gleiches gilt für die Ausführungen zur Rentenrevision ( Art. 17 Abs. 1 ATSG ; BGE 134 V 131 E. 3 S. 132) und zu den revisionsrechtlich massgebenden Vergleichszeitpunkten ( BGE 133 V 108 E. 5.4 S. 114). Darauf wird verwiesen.</w:t>
      </w:r>
    </w:p>
    <w:p>
      <w:r>
        <w:rPr>
          <w:b/>
        </w:rPr>
        <w:t>E. 3</w:t>
      </w:r>
    </w:p>
    <w:p>
      <w:r>
        <w:t>Als revisionsbegründender Faktor steht eine Verbesserung des Gesundheitszustandes und damit einhergehend der Erwerbsfähigkeit zur Diskussion. Dabei stellen die rentenzusprechende Verfügung vom 4. April 2007 und die streitige Verfügung vom 30. Januar 2015 die zeitlichen Vergleichspunkte für die Beurteilung dar, ob eine revisionsbegründende Änderung der tatsächlichen Verhältnisse eingetreten sei. Die Rentenzusprache basierte im Wesentlichen auf einem chronischen lumbospondylogenen Syndrom rechtsbetont und einem chronischen sekundären Cervikovertebralsyndrom, wohingegen die diagnostizierte leichte depressive Episode als invaliditätsfremd klassifiziert wurde.</w:t>
      </w:r>
    </w:p>
    <w:p>
      <w:r>
        <w:rPr>
          <w:b/>
        </w:rPr>
        <w:t>E. 4.1</w:t>
      </w:r>
    </w:p>
    <w:p>
      <w:r>
        <w:t>In umfassender Würdigung der medizinischen Aktenlage hat das kantonale Gericht erkannt, dass sich der Gesundheitszustand des Beschwerdeführers seit Erlass der rentenzusprechenden Verfügung vom 4. April 2007 in erheblicher Weise verbessert hat und der Versicherte wieder über eine Arbeitsfähigkeit von 100 % in der angestammten Tätigkeit als Spulereimitarbeiter oder in einer Verweistätigkeit verfüge. Es stützte sich dabei im Wesentlichen auf das bidisziplinäre Gutachten der Dr. med. et Dr. sc. nat. ETH C.________ vom 26. März 2014 und des Dr. med. D.________ vom 23. Juni 2014 sowie auf die Stellungnahme des RAD vom 5. August 2014. Darin werden rheumatologischerseits mit Auswirkung auf die Arbeitsfähigkeit eine verminderte Belastbarkeit und Beschwerden der LWS bei kongenitalem Sacrum acutum und mässigen degenerativen Veränderungen vor allem L4/L5 sowie lumbosakral diagnostiziert, wobei die Arbeitsfähigkeit in einer leidensangepassten Tätigkeit, wozu auch die angestammte Tätigkeit als Spulereimitarbeiter gehöre, seit November 2013 100 % betrage. Psychiatrischerseits wurde eine seit ca. 2006 unveränderte Symptomatik festgestellt, nachdem Dr. med. D.________ eine rezidivierende depressive Störung bei gegenwärtig leichter depressiver Episode ohne Chronifizierung diagnostizierte, die sich nicht auf die Arbeitsfähigkeit auswirke. Die Vorinstanz hat demzufolge die Aufhebung der bisherigen Invalidenrente bestätigt.</w:t>
      </w:r>
    </w:p>
    <w:p>
      <w:r>
        <w:rPr>
          <w:b/>
        </w:rPr>
        <w:t>E. 4.2</w:t>
      </w:r>
    </w:p>
    <w:p>
      <w:r>
        <w:t>Die Einwendungen des Beschwerdeführers sind nicht geeignet, die für das Bundesgericht grundsätzlich verbindlichen tatsächlichen Feststellungen des kantonalen Gerichts zum Gesundheitszustand, zu dessen Veränderung und zur Arbeitsfähigkeit als offensichtlich unrichtig oder sonstwie bundesrechtswidrig erscheinen zu lassen. Die Vorinstanz hat die medizinische Aktenlage einlässlich und pflichtgemäss gewürdigt. Das im Rahmen des Revisionsverfahrens eingeholte bidisziplinäre Gutachten der Dr. med. et Dr. sc. nat. ETH C.________ vom 26. März 2014 und des Dr. med. D.________ vom 23. Juni 2014 erfüllt, wie das kantonale Gericht dargelegt hat, die von der Rechtsprechung ( BGE 125 V 351 E. 3a S. 352) gestellten Anforderungen, beruht auf eigenen Untersuchungen und setzt sich insbesondere auch mit den anderen medizinischen Berichten auseinander. Namentlich das Internistisch-rheumatologische Gutachten vom 26. März 2014 zeigt schlüssig auf, inwiefern sich der Gesundheitszustand verbessert hat. Ins Gewicht fallen diesbezüglich - wie im angefochtenen Entscheid dargelegt - neben der Nichterklärbarkeit der subjektiven Beschwerden durch die klinische Untersuchung und die bildgebende Diagnostik insbesondere die bei der klinischen Untersuchung aufgefallenen Diskrepanzen bezüglich Handkraft und Muskelmasse sowie die festgestellte Nichteinnahme von bestimmten Schmerzmitteln. Letzteres ergibt sich nicht nur aus der vom Beschwerdeführer als unverwertbar gerügten Haaranalyse, sondern auch aus Blut- und Urinuntersuchungen. Da nicht dargetan ist, inwiefern sich eine allfällige Unzulässigkeit und damit Unverwertbarkeit der Haaranalyse auf den Ausgang des Verfahrens auswirken würde (vgl. Art. 97 Abs. 1 BGG ), erübrigt sich auch eine nähere Auseinandersetzung damit, dass sich die Vorinstanz in Verletzung ihrer Begründungspflicht nicht mit den diesbezüglichen Einwänden des Beschwerdeführers befasst hat. Soweit sich der Versicherte auf abweichende Berichte behandelnder Ärzte und Psychiater beruft, ist auf die Erfahrungstatsache hinzuweisen, dass behandelnde Ärztinnen und Ärzte mitunter im Hinblick auf ihre auftragsrechtliche Vertrauensstellung in Zweifelsfällen eher zugunsten ihrer Patienten aussagen ( BGE 135 V 465 E. 4.5. S. 470). Wenn das kantonale Gericht zusammenfassend gestützt auf das im Revisionsverfahren eingeholte bidisziplinäre Gutachten zum Schluss gelangt ist, der Gesundheitszustand habe sich verbessert und weder in der angestammten Tätigkeit als Spulereimitarbeiter noch in einer Verweisungstätigkeit bestehe eine Einschränkung der Arbeitsfähigkeit, lässt sich dies nicht beanstanden. Soweit der Beschwerdeführer sinngemäss die Unmöglichkeit der Selbsteingliederung nach Rentenherabsetzung geltend macht, ist darauf hinzuweisen, dass die Voraussetzungen einer ausnahmsweisen Notwendigkeit befähigender beruflicher Massnahmen (Vollendung des 55. Altersjahres oder Rentenbezugsdauer von mindestens 15 Jahren; vgl. SVR 2011 IV Nr. 73 S. 220, 9C_228/2010 E. 3.3 bis 3.5) vorliegend nicht erfüllt sind.</w:t>
      </w:r>
    </w:p>
    <w:p>
      <w:r>
        <w:rPr>
          <w:b/>
        </w:rPr>
        <w:t>E. 4.3</w:t>
      </w:r>
    </w:p>
    <w:p>
      <w:r>
        <w:t>Beim angefochtenen Entscheid hat es mithin sein Bewenden.</w:t>
      </w:r>
    </w:p>
    <w:p>
      <w:r>
        <w:rPr>
          <w:b/>
        </w:rPr>
        <w:t>E. 5</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