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8C_287/2022 vom 17. August 2022</w:t>
      </w:r>
    </w:p>
    <w:p>
      <w:r>
        <w:t>Bundesgericht, 2022-08-17, DE</w:t>
      </w:r>
    </w:p>
    <w:p>
      <w:r>
        <w:rPr>
          <w:b/>
        </w:rPr>
        <w:t xml:space="preserve">Quelle: </w:t>
      </w:r>
      <w:r>
        <w:t>https://mcp.opencaselaw.ch/entscheid/bger_8C_287_2022</w:t>
      </w:r>
    </w:p>
    <w:p>
      <w:r>
        <w:t>FR: TF 8C_287/2022 du 17 août 2022</w:t>
      </w:r>
    </w:p>
    <w:p>
      <w:r>
        <w:t>IT: TF 8C_287/2022 del 17 agosto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Entscheid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Streitig und zu prüfen ist, ob die vorinstanzliche Festsetzung der Rentenaufhebung auf den 1. August 2020 vor Bundesrecht stand hält.</w:t>
      </w:r>
    </w:p>
    <w:p>
      <w:r>
        <w:rPr>
          <w:b/>
        </w:rPr>
        <w:t>E. 3.1</w:t>
      </w:r>
    </w:p>
    <w:p>
      <w:r>
        <w:t>Das kantonale Gericht hat die einschlägigen Grundlagen nach Gesetz und Rechtsprechung betreffend die Rentenrevision ( Art. 17 Abs. 1 ATSG ; Art. 88</w:t>
      </w:r>
    </w:p>
    <w:p>
      <w:r>
        <w:t>bis Abs. 2 lit. a IVV ; BGE 141 V 9 E. 2.3 mit Hinweisen), die rückwirkende Rentenherabsetzung oder Rentenaufhebung im Falle einer Meldepflichtverletzung (Art. 88</w:t>
      </w:r>
    </w:p>
    <w:p>
      <w:r>
        <w:t>bis Abs. 2 lit. b in Verbindung mit Art. 77 IVV ; BGE 142 V 259 E. 3.2.1) und den Beweiswert ärztlicher Berichte und Gutachten ( BGE 134 V 231 E. 5.1; 125 V 351 E. 3a) zutreffend dargelegt.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w:t>
      </w:r>
    </w:p>
    <w:p>
      <w:r>
        <w:rPr>
          <w:b/>
        </w:rPr>
        <w:t>E. 4.1</w:t>
      </w:r>
    </w:p>
    <w:p>
      <w:r>
        <w:t>Die Vorinstanz mass dem estimed-Gutachten vom 19. Januar 2019 Beweiswert zu. Gestützt darauf ging sie davon aus, spätestens ab dem Zeitpunkt der Untersuchung durch den psychiatrischen Gutachter am 6. November 2018 habe sich der (psychische) Gesundheitszustand im Vergleich zum Zeitpunkt der damaligen Rentenzusprache am 20. August 2002, wonach eine 75%-ige Arbeitsunfähigkeit bestanden habe, verbessert. Der Beschwerdeführer sei zumindest für eine leidensangepasste Tätigkeit im Umfang von 80 % arbeitsfähig. Sowohl die damals diagnostizierte posttraumatische Belastungsstörung als auch die Persönlichkeitsänderung nach Extrembelastung samt depressiver Symptomatik seien gemäss dem psychiatrischen Gutachter der estimed vollumfänglich abgeklungen. Dieser habe einzig eine anhaltende somatoforme Schmerzstörung festgestellt. Die Vorinstanz bejahte durch diese wesentliche Veränderung des psychischen Leidens das Vorliegen eines Revisionsgrunds nach Art. 17 Abs. 1 ATSG . Ob die im estimed-Gutachten beschriebenen Inkonsistenzen und die mindestens teilweise bewussten aggravatorischen Anteile einen eigenständigen Revisionsgrund darstellten, liess die Vorinstanz daher offen. Die im estimed-Gutachten beschriebene Verschlechterung in somatischer Hinsicht mit 20%-iger Arbeitsunfähigkeit aus chirurgischer Sicht stelle leistungsrechtlich keine erhebliche Veränderung des Invaliditätsgrads dar, da der Beschwerdeführer bereits eine ganze Invalidenrente (bei einem 75%-igen Invaliditätsgrad) erhalten habe.</w:t>
      </w:r>
    </w:p>
    <w:p>
      <w:r>
        <w:rPr>
          <w:b/>
        </w:rPr>
        <w:t>E. 4.2</w:t>
      </w:r>
    </w:p>
    <w:p>
      <w:r>
        <w:t>Die bereits früher erbrachten Eingliederungsbemühungen seien hauptsächlich an der Krankheitsüberzeugung und der mangelhaften Motivation des Beschwerdeführers gescheitert. Daher erachtete die Vorinstanz den Verzicht der Beschwerdegegnerin auf weitere Eingliederungsbemühungen als rechten s. Da keine Hinweise bestünden, dass der Beschwerdeführer als Gesunder ein Einkommen erzielte, das über dem statistischen Hilfsarbeiterlohn gemäss der vom Bundesamt für Statistik herausgegebenen Schweizerischen Lohnstrukturerhebung (LSE) liegen würde, verzichtete die Vorinstanz auf die ziffernmässig genaue Ermittlung von Validen- und Invalideneinkommen. Ausgehend vom gleichen Tabellenlohn bestimmte sie aus der Einkommensdifferenz und unter Berücksichtigung eines 15%-igen Abzugs vom Tabellenlohn den Invaliditätsgrad. Bei einer 80%-igen Arbeitsfähigkeit resultierte ein Invaliditätsgrad von 32 % ( BGE 135 V 297 E. 5.2; 134 V 322 E. 5.2 mit Hinweis auf 126 V 75; vgl. zur rechnerischen Vereinfachung: Urteil 8C_358/2017 vom 4. August 2017 E. 2.2 mit Hinweis).</w:t>
      </w:r>
    </w:p>
    <w:p>
      <w:r>
        <w:rPr>
          <w:b/>
        </w:rPr>
        <w:t>E. 4.3</w:t>
      </w:r>
    </w:p>
    <w:p>
      <w:r>
        <w:t>Was den Zeitpunkt der Renteneinstellung betrifft, ergebe sich gemäss Vorinstanz aus der vorsorglich verfügten Renteneinstellung weder eine konkrete Meldepflichtverletzung noch eine zweifellos unrichtige Erwirkung der Rentenleistung. Eine rückwirkende Rentenaufhebung nach Art. 88</w:t>
      </w:r>
    </w:p>
    <w:p>
      <w:r>
        <w:t>bis Abs. 2 lit. b IVV sei daher nicht möglich. Die Rentenaufhebung habe somit grundsätzlich ex nunc et pro futuro zu erfolgen, woran die als vorsorgliche Massnahme am 6. Juli 2016 verfügte Renteneinstellung nichts zu ändern vermöge. Dieser Massnahme komme keine materielle Wirkung bezüglich des erst im Hauptverfahren festzulegenden Einstellungs- bzw. Aufhebungszeitpunkts zu. Daher sei die bisherige ganze Invalidenrente mit Wirkung ab dem ersten Tag des zweiten der Zustellung der Verfügung folgenden Monats revisionsweise aufzuheben ( Art. 88</w:t>
      </w:r>
    </w:p>
    <w:p>
      <w:r>
        <w:t>bis Abs. 2 lit. a IVV ), mithin ab dem 1. August 2020(vgl. vorstehende E. 3.1).</w:t>
      </w:r>
    </w:p>
    <w:p>
      <w:r>
        <w:rPr>
          <w:b/>
        </w:rPr>
        <w:t>E. 5.1.1</w:t>
      </w:r>
    </w:p>
    <w:p>
      <w:r>
        <w:t>Der Beschwerdeführer wendet dagegen ein, die Vorinstanz habe in aktenwidriger und damit offensichtlich unrichtiger Weise festgestellt, dass der ursprünglichen Rentenzusprache in diagnostischer Hinsicht sowohl eine posttraumatische Belastungsstörung als auch eine Persönlichkeitsänderung nach Extrembelastung zugrunde gelegen hätten, die im estimed-Gutachten vom 19. Januar 2019 nicht mehr diagnostiziert worden seien. Im ZMB-Verlaufsgutachten vom 12. Juli 2001 sei aber bereits nur noch eine anhaltende somatoforme Schmerzstörung festgestellt worden bei Status nach posttraumatischer Belastungsstörung und Status nach andauernder Persönlichkeitsänderung nach Extrembelastung.</w:t>
      </w:r>
    </w:p>
    <w:p>
      <w:r>
        <w:rPr>
          <w:b/>
        </w:rPr>
        <w:t>E. 5.1.2</w:t>
      </w:r>
    </w:p>
    <w:p>
      <w:r>
        <w:t>Vorab ist darauf hinzuweisen, dass es für die Belange der Invalidenversicherung nicht auf die Diagnose ankommt, sondern einzig darauf, welche Auswirkungen eine Erkrankung auf die Arbeitsfähigkeit hat ( BGE 136 V 279 E. 3.2.1; Urteil 9C_524/2020 vom 23. November 2020 E. 5.1), und dass von einer Diagnose denn auch nicht direkt auf die Beeinträchtigung der Arbeitsfähigkeit geschlossen werden kann ( BGE 145 V 215 E. 6.1; 143 V 409 E. 4.2.1 und 418 E. 6).</w:t>
      </w:r>
    </w:p>
    <w:p>
      <w:r>
        <w:rPr>
          <w:b/>
        </w:rPr>
        <w:t>E. 5.1.3</w:t>
      </w:r>
    </w:p>
    <w:p>
      <w:r>
        <w:t>Die Vorinstanz stellte aktenkonform fest, dass im psychiatrischen ZMB-Teilgutachten die anhaltende somatoforme Schmerzstörung ebenfalls auf die Schussverletzung zurückgeführt worden sei. Zusätzlich habe der Experte einen Status sowohl nach posttraumatischer Belastungsstörung als auch nach Diagnose einer andauernden Persönlichkeitsänderung nach Extrembelastung festgehalten. Im ABI-Gutachten vom 17. September 2012 sei angegeben worden, so die Vorinstanz weiter, dass in der Zeit nach dem ZMB-Verlaufsgutachten ausschliesslich noch eine somatoforme Schmerzstörung habe diagnostiziert werden können. Damit im Einklang habe der psychiatrische estimed-Gutachter dargelegt, dass sowohl die posttraumatische Belastungsstörung als auch eine Persönlichkeitsänderung nach Extrembelastung samt depressiver Symptomatik inzwischen vollumfänglich abgeklungen seien. Den Verlauf beurteilte der Experte dahingehend, dass zumindest seit 2001 auch keine depressive Symptomatik mehr aufgetreten zu sein scheine und sich eine solche im Gutachtenszeitpunkt nicht mehr explorieren liesse. Der anhaltenden somatoformen Schmerzstörung mass er keine Auswirkung auf die Arbeitsfähigkeit zu. Dementgegen bestand aus Sicht der Experten des ZMB aufgrund des psychiatrischen Krankheitsbildes eine erheblich verminderte Arbeitsfähigkeit. Insofern liegt nicht bloss eine andere Beurteilung eines identischen Sachverhalts vor, wenn ärztliche Experten im Verlaufe der Zeit einem nach wie vor bestehenden Leiden keinen oder nur noch reduzierten Einfluss auf die Arbeitsfähigkeit einräumen und von einer entsprechenden wesentlichen Verbesserung des Gesundheitszustandes ausgehen (Urteil 8C_59/2019 vom 17. Mai 2019 E. 5.1 mit Hinweis). Dass sich seit dem ABI-Gutachten vom 17. September 2012 keine wesentliche gesundheitliche Veränderung mehr begründen lässt, wurde im angefochtenen Entscheid nicht in Abrede gestellt. Vielmehr hielt die Vorinstanz in diesem Zusammenhang fest, dass sich die Stellungnahme von Dr. med. C.________, RAD, vom 8. Februar 2019, worin sie eine Veränderung des Gesundheitszustands verneinte, auf die Sachverhaltsentwicklung seit der Begutachtung in der ABI bezog. Entgegen der Ansicht des Beschwerdeführers lässt sich demnach hieraus nichts zu seinen Gunsten ableiten. Wenn die Vorinstanz vor diesem Hintergrund eine wesentliche Veränderung des Gesundheitszustands im Sinne eines Revisionsgrunds nach Art. 17 Abs. 1 ATSG bejahte, ist dies weder willkürlich noch anderweitig bundesrechtsverletzend.</w:t>
      </w:r>
    </w:p>
    <w:p>
      <w:r>
        <w:rPr>
          <w:b/>
        </w:rPr>
        <w:t>E. 5.2.1</w:t>
      </w:r>
    </w:p>
    <w:p>
      <w:r>
        <w:t>Nicht stichhaltig ist ferner die Rüge, die Rentenaufhebung ohne vorherige Abklärungen zur Notwendigkeit befähigender Massnahmen bzw. ohne vorgängige Durchführung solcher Massnahmen verletze Bundesrecht, zumal kein Mahn- und Bedenkzeitverfahren nach Art. 21 Abs. 4 ATSG erfolgt sei.</w:t>
      </w:r>
    </w:p>
    <w:p>
      <w:r>
        <w:rPr>
          <w:b/>
        </w:rPr>
        <w:t>E. 5.2.2</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(Urteile 9C_541/2020 vom 1. März 2021 E. 4.4.2; 9C_50/2020 vom 9. Juli 2020 E. 3.1; 9C_797/2018 vom 10. September 2019 E. 5.1).</w:t>
      </w:r>
    </w:p>
    <w:p>
      <w:r>
        <w:rPr>
          <w:b/>
        </w:rPr>
        <w:t>E. 5.2.3</w:t>
      </w:r>
    </w:p>
    <w:p>
      <w:r>
        <w:t>Mit der Vorinstanz ist festzuhalten, dass die früher bereits erbrachten Eingliederungsbemühungen hauptsächlich an der Krankheitsüberzeugung und der mangelnden Motivation des Beschwerdeführers scheiterten. Diese Krankheitsüberzeugung behielt er während des gesamten Verwaltungsverfahrens bei. Seit der Schussverletzung 1996 hat er nicht mehr gearbeitet, obschon ihm gutachterlicherseits bereits 2001 eine Restarbeitsfähigkeit sowohl in der angestammten Hilfstätigkeit in der Produktion von Plastik als auch in einer anderen leidensangepassten Tätigkeit attestiert wurde. Wie die Vorinstanz feststellte, betrachtete auch der psychiatrische estimed-Gutachter die Motivation hinsichtlich einer Arbeitstätigkeit als deutlich eingeschränkt. Der Experte habe die Auffassung vertreten, dass beim Beschwerdeführer eine - bewältigbare - subjektive Überzeugung bestehe, nicht mehr arbeitsfähig zu sein. So hielt der Gutachter fest, der Beschwerdeführer habe angegeben, wenn man ihm eine "Offerte" machen würde, diese anzunehmen. Gleichzeitig habe er jedoch einschränkend ausgeführt, er gehe davon aus, keine Arbeit mit Rendement leisten zu können, wie sich schon im Vorfeld gezeigt habe. Auf seine Arbeit sei kein Verlass.</w:t>
      </w:r>
    </w:p>
    <w:p>
      <w:r>
        <w:rPr>
          <w:b/>
        </w:rPr>
        <w:t>E. 5.2.4</w:t>
      </w:r>
    </w:p>
    <w:p>
      <w:r>
        <w:t>Der Beschwerdeführer bringt nichts vor, was die vorinstanzliche Feststellung fehlender subjektiver Eingliederungsfähigkeit als qualifiziert unrichtig oder rechtsfehlerhaft erscheinen liesse. Sie bleibt für das Bundesgericht verbindlich (Urteil 8C_581/2019 vom 22. April 2020 E. 7.3 mit Hinweis). Fehlt es an einem Eingliederungswillen bzw. einer subjektiven Eingliederungsfähigkeit, entfällt der Anspruch auf Eingliederungsmassnahmen, ohne dass zunächst ein Mahn- und Bedenkzeitverfahren durchgeführt werden müsste (vgl. SVR 2022 IV Nr. 23 S. 73, 8C_202/2021 E. 7.1 mit Hinweis auf Urteile 9C_469/2016 vom 22. Dezember 2016 E. 7 und 8C_569/2015 vom 17. Februar 2016 E. 5.1 mit Hinweisen). Der vorinstanzliche Entscheid hält demnach auch in diesem Punkt stand.</w:t>
      </w:r>
    </w:p>
    <w:p>
      <w:r>
        <w:rPr>
          <w:b/>
        </w:rPr>
        <w:t>E. 6</w:t>
      </w:r>
    </w:p>
    <w:p>
      <w:r>
        <w:t>Die weiteren Erwägungen im angefochtenen Entscheid zum Einkommensvergleich ( Art. 16 ATSG ) und betreffend den Zeitpunkt der Rentenaufhebung (1. August 2020) sind unbestritten geblieben.</w:t>
      </w:r>
    </w:p>
    <w:p>
      <w:r>
        <w:t>Was den Zeitpunkt der Renteneinstellung betrifft, ist einzig anzumerken, dass das Bundesgericht im Urteil 8C_594/2019 vom 28. Mai 2020 E. 4.4 offen liess, ob eine vorsorglich sistierte Rente allenfalls präjudizielle Wirkung auf den Aufhebungszeitpunkt der Invalidenrente haben kann, sodass trotz fehlender Meldepflichtverletzung eine rückwirkende definitive Einstellung der Rente auf den Zeitpunkt der Sistierung möglich wäre. Weiterungen hierzu erübrigen sich indes im vorliegenden Fall. Denn mit der vorinstanzlichen Rentenaufhebung ex nunc et pro futuro hat es vor Bundesgericht sein Bewenden, ist es diesem laut Art. 107 Abs. 1 BGG doch verwehrt, über die Begehren der Parteien hinauszugehen, sodass es - was eine Rentenaufhebung auf einen früheren Zeitpunkt hin aber zur Folge hätte - auch keine reformatio in peius vornehmen darf. Die Beschwerde ist insgesamt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