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8C_286/2025 vom 9. Dezember 2025</w:t>
      </w:r>
    </w:p>
    <w:p>
      <w:r>
        <w:t>Bundesgericht, 2025-12-09, DE</w:t>
      </w:r>
    </w:p>
    <w:p>
      <w:r>
        <w:rPr>
          <w:b/>
        </w:rPr>
        <w:t xml:space="preserve">Quelle: </w:t>
      </w:r>
      <w:r>
        <w:t>https://mcp.opencaselaw.ch/entscheid/bger_8C_286_2025</w:t>
      </w:r>
    </w:p>
    <w:p>
      <w:r>
        <w:t>FR: TF 8C_286/2025 du 9 décembre 2025</w:t>
      </w:r>
    </w:p>
    <w:p>
      <w:r>
        <w:t>IT: TF 8C_286/2025 del 9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2.1</w:t>
      </w:r>
    </w:p>
    <w:p>
      <w:r>
        <w:t>Streitig und zu prüfen ist, ob das kantonale Gericht Bundesrecht verletzte, indem es für die Zeit ab 1. Februar 2020 einen Rentenanspruch des Beschwerdeführers verneinte.</w:t>
      </w:r>
    </w:p>
    <w:p>
      <w:r>
        <w:rPr>
          <w:b/>
        </w:rPr>
        <w:t>E. 2.2</w:t>
      </w:r>
    </w:p>
    <w:p>
      <w:r>
        <w:t>Anspruch auf eine Rente haben gemäss Art. 28 Abs. 1 IVG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 Art. 8 ATSG ) sind.</w:t>
      </w:r>
    </w:p>
    <w:p>
      <w:r>
        <w:rPr>
          <w:b/>
        </w:rPr>
        <w:t>E. 3.1</w:t>
      </w:r>
    </w:p>
    <w:p>
      <w:r>
        <w:t>Das kantonale Gericht hat in umfassender Würdigung der medizinischen Akten - insbesondere aber gestützt auf das Gutachten der D.________ AG vom 30. Juni 2023 (inkl. ergänzender Stellungnahme des orthopädischen Teilgutachters vom 30. August 2024) - für das Bundesgericht grundsätzlich verbindlich festgestellt, dass der Beschwerdeführer in seiner angestammten Tätigkeit nicht eingeschränkt ist. Was der Beschwerdeführer gegen diese Feststellung vorbringt, vermag sie nicht als offensichtlich unrichtig erscheinen zu lassen. Rechtsprechungsgemäss ist auf im Verfahren nach Art. 44 ATSG eingeholte Gutachten abzustellen, wenn nicht konkrete Indizien gegen die Zuverlässigkeit der Expertise sprechen ( BGE 135 V 465 E. 4.4). Wie nachstehende Erwägungen zeigen, durfte die Vorinstanz solche willkürfrei verneinen.</w:t>
      </w:r>
    </w:p>
    <w:p>
      <w:r>
        <w:rPr>
          <w:b/>
        </w:rPr>
        <w:t>E. 3.2</w:t>
      </w:r>
    </w:p>
    <w:p>
      <w:r>
        <w:t>Soweit der Beschwerdeführer rügt, der orthopädische Teilgutachter habe keine persönliche Sichtung der MRI-Bildgebung vorgenommen, sondern sich lediglich auf die schriftlichen radiologischen Befunde verlassen, ist daran zu erinnern, dass rechtsprechungsgemäss den Gutachtern - was die Wahl der Untersuchungsmethoden betrifft - ein weiter Ermessensspielraum zukommt (Urteil 9C_753/2015 vom 20. April 2016 E. 3.3 mit weiteren Hinweisen). Entscheidend ist, dass den Experten sämtliche Unterlagen zur Verfügung standen (Urteil 9C_651/2017 vom 19. Juni 2018 E. 4.4). Dies war hier nach den insoweit unbestrittenen vorinstanzlichen Feststellungen der Fall. Somit lag es im Ermessen des Gutachters, ob er eine eigene Sichtung der Bildgebung als notwendig erachtete. Im Übrigen ist darauf hinzuweisen, dass (auch) der Experte in seinem Gutachten ausdrücklich vom Vorhandensein degenerativer Veränderungen an der oberen Wirbelsäule ausging.</w:t>
      </w:r>
    </w:p>
    <w:p>
      <w:r>
        <w:rPr>
          <w:b/>
        </w:rPr>
        <w:t>E. 3.3</w:t>
      </w:r>
    </w:p>
    <w:p>
      <w:r>
        <w:t>Entgegen den Vorbringen des Beschwerdeführers setzten sich sodann die Gutachter in angemessener Weise mit den abweichenden Ansichten anderer medizinischer Fachpersonen - so auch jener von Dr. med. E.________ vom 14. September 2020 - auseinander. Sie zeigen denn auch nachvollziehbar auf, weshalb trotz der festgestellten Befunde und den subjektiven Angaben des Beschwerdeführers in seiner sehr leichten angestammten Tätigkeit keine Einschränkung in der Arbeits- und Leistungsfähigkeit resultiert. Eine Widersprüchlichkeit in den Angaben der Experten ist entgegen den Ausführungen des Beschwerdeführers nicht zu erkennen. Im Weiteren legt dieser auch nicht dar, dass eine medizinische Fachperson in Kenntnis des Gutachtens begründet eine von den Experten abweichende Meinung vertreten hätte.</w:t>
      </w:r>
    </w:p>
    <w:p>
      <w:r>
        <w:rPr>
          <w:b/>
        </w:rPr>
        <w:t>E. 3.4</w:t>
      </w:r>
    </w:p>
    <w:p>
      <w:r>
        <w:t>Zusammenfassend hat das kantonale Gericht kein Bundesrecht verletzt, als es gestützt auf das Gutachten der D.________ AG von einer vollständig erhaltenen Arbeits- und Leistungsfähigkeit in der angestammten Tätigkeit ausging. Somit haben Vorinstanz und Verwaltung einen Rentenanspruch zu Recht verneint; die Beschwerde ist entsprechend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