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8C_286/2007 vom 3. Januar 2008</w:t>
      </w:r>
    </w:p>
    <w:p>
      <w:r>
        <w:t>Bundesgericht, 2008-01-03, DE</w:t>
      </w:r>
    </w:p>
    <w:p>
      <w:r>
        <w:rPr>
          <w:b/>
        </w:rPr>
        <w:t xml:space="preserve">Quelle: </w:t>
      </w:r>
      <w:r>
        <w:t>https://mcp.opencaselaw.ch/entscheid/bger_8C_286_2007</w:t>
      </w:r>
    </w:p>
    <w:p>
      <w:r>
        <w:t>FR: TF 8C_286/2007 du 3 janvier 2008</w:t>
      </w:r>
    </w:p>
    <w:p>
      <w:r>
        <w:t>IT: TF 8C_286/2007 del 3 gennaio 2008</w:t>
      </w:r>
    </w:p>
    <w:p>
      <w:pPr>
        <w:pStyle w:val="Heading2"/>
      </w:pPr>
      <w:r>
        <w:t>Erwägungen</w:t>
      </w:r>
    </w:p>
    <w:p>
      <w:r>
        <w:rPr>
          <w:b/>
        </w:rPr>
        <w:t>E. 1</w:t>
      </w:r>
    </w:p>
    <w:p>
      <w:r>
        <w:t>Weil die angefochtene Entscheidung nach dem Datum des Inkrafttretens des Bundesgesetzes über das Bundesgericht (BGG; SR 173.110), dem 1. Januar 2007 (AS 2006 1243), ergangen ist, untersteht die Beschwerde dem neuen Recht ( Art. 132 Abs. 1 BGG ).</w:t>
      </w:r>
    </w:p>
    <w:p>
      <w:r>
        <w:rPr>
          <w:b/>
        </w:rPr>
        <w:t>E. 2</w:t>
      </w:r>
    </w:p>
    <w:p>
      <w:r>
        <w:t>Die Beschwerde in öffentlich-rechtlichen Angelegenheiten ( Art. 82 ff. BGG ) kann wegen Rechtsverletzung im Sinne von Art. 95 f. BGG erhoben werden. Das Bundesgericht legt seinem Urteil den Sachverhalt zugrunde, den die Vorinstanz festgestellt hat ( Art. 105 Abs. 1 BGG ). Es kann deren Sachverhaltsfeststellung berichtigen oder ergänzen, wenn sie offensichtlich unrichtig ist oder auf einer Rechtsverletzung im Sinne von Artikel 95 beruht ( Art. 105 Abs. 2 BGG ; vgl. zur Invaliditätsbemessung auch BGE 132 V 393 ).</w:t>
      </w:r>
    </w:p>
    <w:p>
      <w:r>
        <w:rPr>
          <w:b/>
        </w:rPr>
        <w:t>E. 3</w:t>
      </w:r>
    </w:p>
    <w:p>
      <w:r>
        <w:t>Die Vorinstanz hat die Bestimmungen und Grundsätze über das anwendbare Recht ( BGE 130 V 445 mit Hinweisen), die Revision einer Rente und der dabei zu vergleichenden Sachverhalte ( Art. 17 Abs. 1 ATSG ; BGE 130 V 343 E. 3.5 S. 349 mit Hinweisen) richtig dargelegt. Dasselbe gilt für die Begriffe der Invalidität und der Erwerbsunfähigkeit ( Art. 4 IVG in Verbindung mit Art. 8 ATSG ) sowie den Anspruch auf eine Rente der Invalidenversicherung ( Art. 28 Abs. 1 IVG ) und die Ermittlung des Invaliditätsgrades bei Erwerbstätigen nach der allgemeinen Methode des Einkommensvergleichs ( Art. 16 ATSG ; BGE 128 V 29 E. 1 S. 30 mit Hinweisen). Darauf wird verwiesen.</w:t>
      </w:r>
    </w:p>
    <w:p>
      <w:r>
        <w:rPr>
          <w:b/>
        </w:rPr>
        <w:t>E. 4</w:t>
      </w:r>
    </w:p>
    <w:p>
      <w:r>
        <w:t>Die Vorinstanz hat in Würdigung der medizinischen Akten, insbesondere der beiden Gutachten des ärztlichen Begutachtungsinstituts Y.________ vom 21. August 2002 und vom 17. Juli 2006, festgestellt, dass der Gesundheitszustand der Versicherten sich nicht wesentlich verschlechtert hat, sondern ihr infolge einer gewissen psychischen Stabilisierung eine angepasste Tätigkeit im Rahmen eines halben Arbeitspensums zumutbar ist. Diese Feststellungen sind tatsächlicher Natur und für das Bundesgericht grundsätzlich verbindlich ( Art. 105 Abs. 1 BGG ; BGE 132 V 393 E. 3.2 S. 398).</w:t>
      </w:r>
    </w:p>
    <w:p>
      <w:r>
        <w:t>Daran ändern auch die Vorbringen der Beschwerdeführerin nichts: Die Gutachten des ärztlichen Begutachtungsinstituts Y.________ erfüllen die Anforderungen an einen ärztlichen Bericht ( BGE 125 V 351 E. 3a S. 352 mit Hinweis). Wie die Vorinstanz richtig festhält, trifft dies auf die Berichte des Dr. med. R.________, Facharzt für Allgemeine Medizin, und des Dr. med. P.________ nicht zu, da sie nur auf den subjektiven Angaben der Versicherten, nicht aber auf eigenen Erhebungen und medizinisch begründeten Schlussfolgerungen beruhen. Insbesondere sind sie ohne Bezugnahme auf die übrigen ärztlichen Aussagen ergangen. Zudem wird auf Grund der unterschiedlichen Natur von Begutachtungs- und Behandlungsauftrag ein Administrativgutachten nicht schon allein deshalb in Frage gestellt, weil die Gutachter zu einem anderen Ergebnis als die behandelnden Ärzte gelangen (Urteil I 844/06 vom 24. September 2007, E. 2.3.2 mit Hinweisen). Nichts zu ihren Gunsten abzuleiten vermag die Versicherte aus der in allgemeiner Form vorgetragenen Kritik am ärztlichen Begutachtungsinstituts Y.________. Denn es ist kein konkreter Anhaltspunkt ersichtlich, der auf Voreingenommenheit oder Befangenheit der Ärzte schliessen lässt. Das gilt auch bezüglich der strittigen (Nicht-) Einnahme des Antidepressivums.</w:t>
      </w:r>
    </w:p>
    <w:p>
      <w:r>
        <w:t>Angesichts der schlüssigen medizinischen Aktenlage kann gestützt auf die beiden polydisziplinären Gutachten des ärztlichen Begutachtungsinstituts Y.________ im Rahmen der antizipierten Beweiswürdigung (SVR 2001 IV Nr. 10 S. 27 E. 4b mit Hinweisen) auf die Einholung weiterer Gutachten verzichtet werden.</w:t>
      </w:r>
    </w:p>
    <w:p>
      <w:r>
        <w:rPr>
          <w:b/>
        </w:rPr>
        <w:t>E. 5</w:t>
      </w:r>
    </w:p>
    <w:p>
      <w:r>
        <w:t>Was die Feststellung des Invalideneinkommens betrifft, so hat die Vorinstanz dieses in Einklang mit der Rechtsprechung ermittelt, von der abzuweichen auch aus den von der Versicherten dargelegten Gründen kein Anlass besteht. Insbesondere ist die Zugrundelegung der Werte der Tabelle TA 1, Anforderungsniveau 4, nicht zu beanstanden. Denn damit werden eine Vielzahl von einfachen, auch von ungelernten Hilfskräften leicht zu erlernenden und der Versicherten im Rahmen eines halben Arbeitspensums durchaus zumutbaren Tätigkeiten erfasst, so dass sich kein Beizug von Anfangslöhnen oder anderen Abweichungen aufdrängt. Schliesslich handelt es sich bei der Frage nach der Höhe des leidensbedingten Abzugs um eine typische Ermessensfrage, deren Beantwortung letztinstanzlicher Korrektur nur zulässig ist, wenn die Vorinstanz ihr Ermessen rechtsfehlerhaft (Ermessensüberschreitung, -missbrauch oder -unterschreitung) ausgeübt hat ( BGE 132 V 393 E. 3.3 S. 399). Dies ist angesichts des gewährten Abzugs von 20 % bei einem maximal zulässigen von 25 % offensichtlich nicht der Fall.</w:t>
      </w:r>
    </w:p>
    <w:p>
      <w:r>
        <w:rPr>
          <w:b/>
        </w:rPr>
        <w:t>E. 6</w:t>
      </w:r>
    </w:p>
    <w:p>
      <w:r>
        <w:t>Das Verfahren ist kostenpflichtig. Die Versicherte hat als unterliegende Partei die Gerichtskosten zu tragen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