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8C_285/2025 vom 4. Juni 2025</w:t>
      </w:r>
    </w:p>
    <w:p>
      <w:r>
        <w:t>Bundesgericht, 2025-06-04, DE</w:t>
      </w:r>
    </w:p>
    <w:p>
      <w:r>
        <w:rPr>
          <w:b/>
        </w:rPr>
        <w:t xml:space="preserve">Quelle: </w:t>
      </w:r>
      <w:r>
        <w:t>https://mcp.opencaselaw.ch/entscheid/bger_8C_285_2025</w:t>
      </w:r>
    </w:p>
    <w:p>
      <w:r>
        <w:t>FR: TF 8C_285/2025 du 4 juin 2025</w:t>
      </w:r>
    </w:p>
    <w:p>
      <w:r>
        <w:t>IT: TF 8C_285/2025 del 4 giugno 2025</w:t>
      </w:r>
    </w:p>
    <w:p>
      <w:pPr>
        <w:pStyle w:val="Heading2"/>
      </w:pPr>
      <w:r>
        <w:t>Erwägungen</w:t>
      </w:r>
    </w:p>
    <w:p>
      <w:r>
        <w:rPr>
          <w:b/>
        </w:rPr>
        <w:t>E. 1</w:t>
      </w:r>
    </w:p>
    <w:p>
      <w:r>
        <w:t>Nach Art. 95 BGG kann mit der Beschwerde nebst anderem die Verletzung von Bundesrecht gerügt werden (lit. a), zudem (abweichend von Art. 97 Abs. 1 BGG ) jede unrichtige oder unvollständige Feststellung des rechtserheblichen Sachverhalts, wenn sie sich gegen einen Entscheid über die Zusprechung oder Verweigerung von Geldleistungen der Militär- oder Unfallversicherung richtet ( Art. 97 Abs. 2 BGG ). Im Streit, ob eine Rechtsverweigerung oder Rechtsverzögerung vorliegt, kommt diese Ausnahmeregelung allerdings nicht zur Anwendung. Es gilt Art. 97 Abs. 1 BGG , wonach die Feststellung des Sachverhalts nur gerügt werden kann, wenn sie offensichtlich unrichtig ist oder auf einer Rechtsverletzung im Sinne von Art. 95 BGG beruht und wenn die Behebung des Mangels für den Ausgang des Verfahrens entscheidend sein kann (Urteil 8C_336/2012 vom 13. August 2012 E. 2.2, nicht veröffentlicht in: BGE 138 V 318 , aber in: SVR 2013 UV Nr. 2 S. 3; SVR 2010 UV Nr. 16 S. 61, 8C_622/2009 E. 2).</w:t>
      </w:r>
    </w:p>
    <w:p>
      <w:r>
        <w:t>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Das kantonale Gericht verneinte in Auseinandersetzung mit den Parteivorbringen und in Würdigung der Akten mit Urteil vom 25. Februar 2025 eine durch die Beschwerdegegnerin im Rahmen des Einspracheverfahrens gegen die Verfügung vom 14. Mai 2024 begangene Rechtsverzögerung bzw. -verweigerung. Der Inhalt des zwischenzeitlich ergangenen Einspracheentscheids vom 17. Januar 2025 könne allein im Rahmen einer dagegen (fristgerecht) erhobenen Beschwerde angefochten werden.</w:t>
      </w:r>
    </w:p>
    <w:p>
      <w:r>
        <w:rPr>
          <w:b/>
        </w:rPr>
        <w:t>E. 3</w:t>
      </w:r>
    </w:p>
    <w:p>
      <w:r>
        <w:t>Darauf geht die Beschwerdeführerin nicht sachbezogen ein. Vielmehr scheint sie das Wesen der Rechtsverweigerungs- und -verzögerungsbeschwerde nicht zu verstehen. Diese dient allein dazu, die (zeitgerechte) Bearbeitung eines Leistungsbegehrens sicherzustellen (vgl. auch Art. 100 Abs. 7 BGG ). Ausserhalb davon Liegendes kann mit diesem Rechtsbehelf nicht thematisiert werden. Inwieweit die von der Vorinstanz in diesem Rahmen getroffenen Sachverhaltsfeststellungen offensichtlich unrichtig (vgl. Art. 97 Abs. 1 BGG ) - mithin willkürlich ( BGE 146 IV 88 E. 1.3.1 f. und 140 III 115 E. 2; je mit Hinweisen) - oder sonstwie bundesrechtswidrig sein sollen, führt die Beschwerdeführerin nicht aus. Ebenso wenig zeigt sie auf, weshalb die darauf beruhenden Erwägungen gegen Bundesrecht verstossen oder einen anderen Beschwerdegrund (vgl. Art. 95 lit. a-e BGG ) gesetzt haben könnten.</w:t>
      </w:r>
    </w:p>
    <w:p>
      <w:r>
        <w:rPr>
          <w:b/>
        </w:rPr>
        <w:t>E. 4</w:t>
      </w:r>
    </w:p>
    <w:p>
      <w:r>
        <w:t>Liegt offensichtlich keine hinreichend sachbezogen begründete Beschwerde vor, so führt dies zu einem Nichteintreten im vereinfachten Verfahren nach Art. 108 Abs. 1 lit. b BGG .</w:t>
      </w:r>
    </w:p>
    <w:p>
      <w:r>
        <w:rPr>
          <w:b/>
        </w:rPr>
        <w:t>E. 5</w:t>
      </w:r>
    </w:p>
    <w:p>
      <w:r>
        <w:t>Die Gerichtskosten sind ausgangsgemäss der Beschwerdeführerin zu überbinden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