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8C_282/2017 vom 22. August 2017</w:t>
      </w:r>
    </w:p>
    <w:p>
      <w:r>
        <w:t>Bundesgericht, 2017-08-22, DE</w:t>
      </w:r>
    </w:p>
    <w:p>
      <w:r>
        <w:rPr>
          <w:b/>
        </w:rPr>
        <w:t xml:space="preserve">Quelle: </w:t>
      </w:r>
      <w:r>
        <w:t>https://mcp.opencaselaw.ch/entscheid/bger_8C_282_2017</w:t>
      </w:r>
    </w:p>
    <w:p>
      <w:r>
        <w:t>FR: TF 8C_282/2017 du 22 août 2017</w:t>
      </w:r>
    </w:p>
    <w:p>
      <w:r>
        <w:t>IT: TF 8C_282/2017 del 22 agosto 2017</w:t>
      </w:r>
    </w:p>
    <w:p>
      <w:pPr>
        <w:pStyle w:val="Heading2"/>
      </w:pPr>
      <w:r>
        <w:t>Erwägungen</w:t>
      </w:r>
    </w:p>
    <w:p>
      <w:r>
        <w:rPr>
          <w:b/>
        </w:rPr>
        <w:t>E. 1.1</w:t>
      </w:r>
    </w:p>
    <w:p>
      <w:r>
        <w:t>Das Bundesgericht prüft die Zulässigkeit eines Rechtsmittels von Amtes wegen und mit freier Kognition ( BGE 138 V 318 E. 6 Ingress S. 320 mit Hinweis; Urteil 8C_122/2014 vom 18. August 2014 E. 1, in: SVR 2015 MV Nr. 1 S. 1).</w:t>
      </w:r>
    </w:p>
    <w:p>
      <w:r>
        <w:rPr>
          <w:b/>
        </w:rPr>
        <w:t>E. 1.2</w:t>
      </w:r>
    </w:p>
    <w:p>
      <w:r>
        <w:t>Formell handelt es sich beim vorinstanzlichen Entscheid um einen Rückweisungsentscheid. Rückweisungsentscheide sind grundsätzlich Zwischenentscheide, welche nur unter den Voraussetzungen von Art. 92 oder 93 BGG beim Bundesgericht anfechtbar sind, auch wenn damit über materielle Teilaspekte der Streitsache entschieden wird ( BGE 133 V 477 E. 4.2 und 4.3 S. 481 f.; 132 III 785 E. 3.2 S. 790 f. ; 129 I 313 E. 3.2 S. 316).</w:t>
      </w:r>
    </w:p>
    <w:p>
      <w:r>
        <w:rPr>
          <w:b/>
        </w:rPr>
        <w:t>E. 1.3</w:t>
      </w:r>
    </w:p>
    <w:p>
      <w:r>
        <w:t>Gemäss Art. 93 BGG ist d ie Beschwerde an das Bundesgericht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1.4</w:t>
      </w:r>
    </w:p>
    <w:p>
      <w:r>
        <w:t>Nach der Rechtsprechung obliegt es der Beschwerdeführerin darzutun, dass eine dieser beiden Voraussetzungen erfüllt ist, es sei denn, deren Vorliegen springe geradezu in die Augen (statt vieler: BGE 142 V 26 E. 1.2 S. 28 mit Hinweisen).</w:t>
      </w:r>
    </w:p>
    <w:p>
      <w:r>
        <w:t>Die Beschwerdeführerin setzt sich mit den Voraussetzungen von Art. 93 Abs. 1 BGG mit keinem Wort auseinander. Vorliegend ist ein nicht wieder gutzumachender Nachteil jedoch evident: Könnte die Zürich den vorinstanzlichen Entscheid nicht anfechten, wäre sie gezwungen, sich die ihres Erachtens rechtswidrige Bejahung des Unfallbegriffs ( Art. 6 Abs. 1 UVG in Verbindung mit Art. 4 ATSG ) entgegen halten zu lassen. Sollten im Rahmen der Rückweisung mit Blick auf das Ereignis vom 15. April 2016 auch die übrigen Leistungsvoraussetzungen nach UVG zu bejahen sein, hätte die Beschwerdeführerin gegebenenfalls eine rechtswidrige Leistungszusprache zu erlassen, zu deren Anfechtung sie mangels formeller Beschwer nicht befugt wäre (vgl. BGE 140 V 282 E. 4.2 S. 286; 133 V 477 E. 5.2.4 S. 484 f.). Mithin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Strittig ist die Leistungspflicht der Beschwerdeführerin nach UVG für die in der Folge des Ereignisses vom 15. April 2016 aufgetretenen Beschwerden. Während die Zürich einen ungewöhnlichen äusseren Faktor ausschloss und die Erfüllung des Unfallbegriffs verneinte, gelangte das kantonale Gericht zur Auffassung, die Ungewöhnlichkeit sei zu bejahen. Eine alltägliche Bewegung sei durch eine Programmwidrigkeit unterbrochen worden.</w:t>
      </w:r>
    </w:p>
    <w:p>
      <w:r>
        <w:rPr>
          <w:b/>
        </w:rPr>
        <w:t>E. 3.1</w:t>
      </w:r>
    </w:p>
    <w:p>
      <w:r>
        <w:t>Gemäss Art. 6 Abs. 1 UVG werden die Leistungen der Unfallversicherung bei Berufsunfällen, Nichtberufsunfällen und Berufskrankheiten gewährt, soweit das Gesetz nichts anderes bestimmt.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3.1.1</w:t>
      </w:r>
    </w:p>
    <w:p>
      <w:r>
        <w:t>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(vgl. BGE 129 V 402 E. 2.1 S. 404) - den Rahmen des im jeweiligen Lebensbereich Alltäglichen oder Üblichen überschreitet. Ausschlaggebend ist also, dass sich der äussere Faktor vom Normalmass an Umwelteinwirkungen auf den menschlichen Körper abhebt. Ungewöhnliche Auswirkungen allein begründen keine Ungewöhnlichkeit ( BGE 134 V 72 E. 4.3.1 S. 79 f. mit Hinweis; erwähntes Urteil 8C_708/2011 vom 9. November 2011 in: SVR 2012 UV Nr. 11 E. 6.1). Für Tatsachenfeststellungen bei der Beurteilung des Unfallcharakters eines Ereignisses gilt der im Sozialversicherungsrecht übliche Beweisgrad der überwiegenden Wahrscheinlichkeit (SVR 2015 UV Nr. 6 S. 21, 8C_231/2014 E. 2.3 mit zahlreichen Hinweisen).</w:t>
      </w:r>
    </w:p>
    <w:p>
      <w:r>
        <w:rPr>
          <w:b/>
        </w:rPr>
        <w:t>E. 3.1.2</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 BGE 130 V 117 E. 2.1 S. 118).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 BGE 99 V 136 E. 1 S. 138; SVR 2014 UV Nr. 21 S. 67, 8C_835/2013 E. 5.1).</w:t>
      </w:r>
    </w:p>
    <w:p>
      <w:r>
        <w:rPr>
          <w:b/>
        </w:rPr>
        <w:t>E. 3.2</w:t>
      </w:r>
    </w:p>
    <w:p>
      <w:r>
        <w:t>Gemäss vorinstanzlicher Sachverhaltsfeststellung, die vor Bundesgericht nicht mehr bestritten wird, trat bei dem im Büroalltag üblichen Vorgang des Drehens auf dem Büro-Drehstuhl die Sinnfälligkeit hinzu, dass der Versicherte mit dem rechten Fuss am Boden oder Stuhlbein hängen blieb. Dadurch wurde sein rechtes Bein abgedreht. Dabei trat ein Knackgeräusch auf, wonach er sofort heftige Schmerzen in seinem rechten Hüftgelenk spürte. Die Vorinstanz hat die Ungewöhnlichkeit des äusseren Faktors aufgrund der Programmwidrigkeit dieser ungeplanten Bewegungsabfolge unter den gegebenen Umständen zu Recht bejaht. Soweit sich die Beschwerdeführerin hiegegen auf BGE 142 V 219 beruft, vermag sie daraus nichts zu ihren Gunsten abzuleiten. Der diesem Urteil zu Grunde liegende Sachverhalt ist nicht mit dem hier zu beurteilenden zu vergleichen. In jenem Fall ereignete sich nichts Ungewöhnliches, als die versicherte Person - wegen dichten Verkehrs planmässig bei nicht vollständig geöffneter Türe - aus ihrem parkierten Auto ausstieg ( BGE 142 V 219 E. 4.3.2 S. 221).</w:t>
      </w:r>
    </w:p>
    <w:p>
      <w:r>
        <w:rPr>
          <w:b/>
        </w:rPr>
        <w:t>E. 3.3</w:t>
      </w:r>
    </w:p>
    <w:p>
      <w:r>
        <w:t>Hat das kantonale Gericht demnach bezüglich des Ereignisses vom 15. April 2016 mit im Übrigen unbestrittener Begründung die Erfüllung des Unfallbegriffes zu Recht bejaht, bleibt es bei der mit angefochtenem Entscheid verfügten Rückweisung an die Zürich zur weiteren Abklärung.</w:t>
      </w:r>
    </w:p>
    <w:p>
      <w:r>
        <w:rPr>
          <w:b/>
        </w:rPr>
        <w:t>E. 4</w:t>
      </w:r>
    </w:p>
    <w:p>
      <w:r>
        <w:t>Im Übrigen beruft sich die Beschwerdeführerin seit Einreichung der vorinstanzlichen Beschwerdeantwort darauf, ein Untersuchungsbericht zum fraglichen Hüftprothesenbruch beweise, dass die Ursache dieses Bruches Materialermüdung gewesen sei. Ohne diesen Bericht hinsichtlich Urheberschaft und Erstellungsdatum hinreichend konkret zu bezeichnen, begnügt sich die Zürich mit der Rüge, die Vorinstanz habe das rechtliche Gehör verletzt, indem sie ohne Begründung auf die Beweisabnahme verzichtet habe. Wäre der Beweis des fehlenden natürlichen Kausalzusammenhanges (vgl. zum Genügen einer Teil-ursächlichkeit zur Bejahung der Kausalität BGE 123 V 43 E. 2b S. 45 mit Hinweis) gemäss Argumentation der Beschwerdeführerin allein durch Edition eines nicht näher bezeichneten Berichtes zu erbringen gewesen, ist nicht nachvollziehbar, weshalb sie diesen Bericht nach Massgabe von Art. 43 Abs. 1 ATSG nicht spätestens im kantonalen Verfahren auflegte. Von einer Verletzung des rechtlichen Gehörs kann unter den gegebenen Umständen jedenfalls keine Rede sein. Nachdem die Zürich jedoch geltend macht, der Beweis sei durch diese Urkunde zu erbringen, wird es für sie im Rahmen der vom kantonalen Gericht veranlassten Rückweisung ohne Weiteres - jedenfalls aber ohne weitläufiges Beweisverfahren - möglich sein, die nötigen Ergänzungen der Aktenlage vorzunehmen, bevor sie über die strittige Leistungspflicht neu verfügt.</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