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8C_280/2024 vom 4. Juni 2024</w:t>
      </w:r>
    </w:p>
    <w:p>
      <w:r>
        <w:t>Bundesgericht, 2024-06-04, DE</w:t>
      </w:r>
    </w:p>
    <w:p>
      <w:r>
        <w:rPr>
          <w:b/>
        </w:rPr>
        <w:t xml:space="preserve">Quelle: </w:t>
      </w:r>
      <w:r>
        <w:t>https://mcp.opencaselaw.ch/entscheid/bger_8C_280_2024</w:t>
      </w:r>
    </w:p>
    <w:p>
      <w:r>
        <w:t>FR: TF 8C_280/2024 du 4 juin 2024</w:t>
      </w:r>
    </w:p>
    <w:p>
      <w:r>
        <w:t>IT: TF 8C_280/2024 del 4 giugno 2024</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w:t>
      </w:r>
    </w:p>
    <w:p>
      <w:r>
        <w:rPr>
          <w:b/>
        </w:rPr>
        <w:t>E. 2</w:t>
      </w:r>
    </w:p>
    <w:p>
      <w:r>
        <w:t>Das Sozialversicherungsgericht des Kantons Zürich entschädigte den Beschwerdeführer als unentgeltlichen Rechtsvertreter des B.________ in Anwendung kantonaler Gesetzesbestimmungen im Verfahren IV.2023.00303 ermessensweise mit Fr. 500.- (inkl. Barauslagen und MWST; Urteil vom 26. März 2024, Dispositivziffer 3).</w:t>
      </w:r>
    </w:p>
    <w:p>
      <w:r>
        <w:rPr>
          <w:b/>
        </w:rPr>
        <w:t>E. 3</w:t>
      </w:r>
    </w:p>
    <w:p>
      <w:r>
        <w:t>Der Beschwerdeführer macht unter Verweis auf BGE 142 IV 237 E. 1.3.1 geltend, das kantonale Gericht hätte ihn vor der Entschädigungszusprache zwingend zur Einreichung einer Kostennote auffordern müssen. Inwiefern das angerufene Urteil (Entschädigung wirtschaftlicher Einbussen nach Art. 429 Abs. 1 lit. b StPO ) für die vorliegende Angelegenheit (unentgeltliche Verbeiständung im Sozialversicherungsverfahren) einschlägig sein könnte, wird nicht ausgeführt. Auch sonst zeigt der Beschwerdeführer nicht auf, weshalb er gestützt auf Bundesrecht vor der Urteilsfällung zur Eingabe einer Kostennote aufzufordern gewesen wäre. Inwieweit das kantonale Gericht bei der Bemessung der Entschädigung verfassungsmässige Rechte bzw. Bundesrecht verletzt haben könnte, wird nicht näher dargelegt (siehe auch BGE 141 I 70 E. 2.1). Damit genügt die Eingabe den eingangs aufgezeigten minimalen Begründungsanforderungen nicht.</w:t>
      </w:r>
    </w:p>
    <w:p>
      <w:r>
        <w:rPr>
          <w:b/>
        </w:rPr>
        <w:t>E. 4</w:t>
      </w:r>
    </w:p>
    <w:p>
      <w:r>
        <w:t>Da dieser Begründungsmangel offensichtlich ist, führt dies zu einem Nichteintreten auf das Rechtsmittel im vereinfachten Verfahren nach Art. 108 Abs. 1 lit. b BGG .</w:t>
      </w:r>
    </w:p>
    <w:p>
      <w:r>
        <w:rPr>
          <w:b/>
        </w:rPr>
        <w:t>E. 5</w:t>
      </w:r>
    </w:p>
    <w:p>
      <w:r>
        <w:t>Die Gerichtskosten sind ausgangsgemäss dem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