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8C_280/2013 vom 28. Mai 2013</w:t>
      </w:r>
    </w:p>
    <w:p>
      <w:r>
        <w:t>Bundesgericht, 2013-05-28, DE</w:t>
      </w:r>
    </w:p>
    <w:p>
      <w:r>
        <w:rPr>
          <w:b/>
        </w:rPr>
        <w:t xml:space="preserve">Quelle: </w:t>
      </w:r>
      <w:r>
        <w:t>https://mcp.opencaselaw.ch/entscheid/bger_8C_280_2013</w:t>
      </w:r>
    </w:p>
    <w:p>
      <w:r>
        <w:t>FR: TF 8C_280/2013 du 28 mai 2013</w:t>
      </w:r>
    </w:p>
    <w:p>
      <w:r>
        <w:t>IT: TF 8C_280/2013 del 28 maggio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Streitig und zu prüfen ist, ob A.________, O.________ sowie N.________ von der SUVA zu Recht als unselbständig Erwerbende qualifiziert wurden und die Prämienrechnung vom 23. November 2010 an die Firma H.________ AG demzufolge zu Recht ergangen ist. Soweit die Beschwerdeführerin darüber hinaus eine Anpassung der Sozialversicherungsbeiträge, namentlich der ALV-Lohnbeiträge beantragt, kann darauf nicht eingetreten werden.</w:t>
      </w:r>
    </w:p>
    <w:p>
      <w:r>
        <w:rPr>
          <w:b/>
        </w:rPr>
        <w:t>E. 3</w:t>
      </w:r>
    </w:p>
    <w:p>
      <w:r>
        <w:t>Die für die Beurteilung der Streitsache massgeblichen Rechtsgrundlagen wurden im Einspracheentscheid vom 12. April 2011, auf welchen im vorinstanzlichen Entscheid diesbezüglich verwiesen wird, zutreffend dargelegt. Dies gilt namentlich für die Abgrenzung von selbständiger und unselbständiger Erwerbstätigkeit und die entsprechenden Versicherungsmöglichkeiten nach UVG. Darauf wird verwiesen ( Art. 109 Abs. 3 BGG ).</w:t>
      </w:r>
    </w:p>
    <w:p>
      <w:r>
        <w:rPr>
          <w:b/>
        </w:rPr>
        <w:t>E. 4.1</w:t>
      </w:r>
    </w:p>
    <w:p>
      <w:r>
        <w:t>Das kantonale Gericht hat - wie zuvor bereits die SUVA - mit in allen Teilen überzeugender Begründung erkannt, dass A.________, O.________ sowie N.________ als für die H.________ AG tätige Mitarbeitende klarerweise als unselbständig Erwerbende und somit als Arbeitnehmerinnen und Arbeitnehmer im Sinne von Art. 10 ATSG zu qualifizieren seien, selbst wenn sie dabei teilweise Führungsfunktionen oder eine Tätigkeit als Verwaltungsrat ausübten. Demzufolge seien sie gemäss Art. 1a Abs. 1 UVG über den arbeitgebenden Betrieb obligatorisch versichert und könnten nicht eine freiwillige Versicherung gemäss Art. 4 Abs. 1 UVG abschliessen. Die Prämienrechnung an die Firma H.________ AG vom 23. November 2010 sei daher zu Recht ergangen.</w:t>
      </w:r>
    </w:p>
    <w:p>
      <w:r>
        <w:rPr>
          <w:b/>
        </w:rPr>
        <w:t>E. 4.2</w:t>
      </w:r>
    </w:p>
    <w:p>
      <w:r>
        <w:t>Diesen Erwägungen ist vollumfänglich beizupflichten. Die Beschwerdeführerin bringt nichts vor, was zu einem vom angefochtenen Entscheid abweichenden Ergebnis führen könnte. Mit den bereits im kantonalen Verfahren erhobenen Einwendungen hat sich die Vorinstanz einlässlich auseinandergesetzt. So ist namentlich nochmals darauf hinzuweisen, dass einer AG Rechtspersönlichkeit zukommt und sie als juristische Person in eigenem Namen handeln kann. Die für die AG tätigen Mitarbeitenden sind Arbeitnehmende der AG und somit unselbständig Erwerbende. Darauf haben weder die von der Beschwerdeführerin geltend gemachte wirtschaftliche Lage des Unternehmens noch das Tragen eines unternehmerischen Risikos einen Einfluss. Einen Verstoss gegen das Rechtsgleichheitsgebot hat das kantonale Gericht zu Recht verneint, ist doch eine AG eben nicht dasselbe wie ein Unternehmen ohne Rechtspersönlichkeit.</w:t>
      </w:r>
    </w:p>
    <w:p>
      <w:r>
        <w:rPr>
          <w:b/>
        </w:rPr>
        <w:t>E. 4.3</w:t>
      </w:r>
    </w:p>
    <w:p>
      <w:r>
        <w:t>Zusammenfassend hat es beim angefochtenen Entscheid sein Bewenden.</w:t>
      </w:r>
    </w:p>
    <w:p>
      <w:r>
        <w:rPr>
          <w:b/>
        </w:rPr>
        <w:t>E. 5</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6</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