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27/2011 vom 14. März 2011</w:t>
      </w:r>
    </w:p>
    <w:p>
      <w:r>
        <w:t>Bundesgericht, 2011-03-14, DE</w:t>
      </w:r>
    </w:p>
    <w:p>
      <w:r>
        <w:rPr>
          <w:b/>
        </w:rPr>
        <w:t xml:space="preserve">Quelle: </w:t>
      </w:r>
      <w:r>
        <w:t>https://mcp.opencaselaw.ch/entscheid/bger_8C_27_2011</w:t>
      </w:r>
    </w:p>
    <w:p>
      <w:r>
        <w:t>FR: TF 8C 27/2011 du 14 mars 2011</w:t>
      </w:r>
    </w:p>
    <w:p>
      <w:r>
        <w:t>IT: TF 8C 27/2011 del 14 marzo 2011</w:t>
      </w:r>
    </w:p>
    <w:p>
      <w:pPr>
        <w:pStyle w:val="Heading2"/>
      </w:pPr>
      <w:r>
        <w:t>Regeste</w:t>
      </w:r>
    </w:p>
    <w:p>
      <w:r>
        <w:t>Unfallversicherung (Invalidenrente, Wiedererwägung) | Unfallversicherung</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Es prüft jedoch grundsätzlich nur die geltend gemachten Rügen, sofern die Rechtsmängel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Zürich zu Recht die der Versicherten mit Verfügung vom 22. Oktober 2001 gestützt auf einen 100%igen Invaliditätsgrad zugesprochene Komplementärrente ab 1. Juli 2009 aufgehoben und die Leistungen für die Heilbehandlung per 31. Juli 2008 eingestellt hat. Das kantonale Gericht hat die für die Anspruchsbeurteilung massgebenden Bestimmungen und die entsprechende Rechtsprechung zutreffend dargelegt. Darauf wird verwiesen.</w:t>
      </w:r>
    </w:p>
    <w:p>
      <w:r>
        <w:rPr>
          <w:b/>
        </w:rPr>
        <w:t>E. 3</w:t>
      </w:r>
    </w:p>
    <w:p>
      <w:r>
        <w:t>Die Vorinstanz hat mit einlässlicher Begründung erkannt, dass die Voraussetzungen für eine Revision der Komplementärrente gemäss Art. 17 Abs. 1 ATSG (vgl. BGE 134 V 131 E. 3. S. 132) nicht erfüllt sind. Dies blieb unangefochten, weshalb sich das Bundesgericht damit nicht mehr zu befassen hat.</w:t>
      </w:r>
    </w:p>
    <w:p>
      <w:r>
        <w:rPr>
          <w:b/>
        </w:rPr>
        <w:t>E. 4.1</w:t>
      </w:r>
    </w:p>
    <w:p>
      <w:r>
        <w:t>Nach den ebenfalls zutreffenden vorinstanzlichen Erwägungen kann der Versicherungsträger gestützt auf Art. 53 Abs. 2 ATSG jederzeit, auch wenn die Voraussetzungen der Revision nach Art. 17 Abs. 1 ATSG nicht erfüllt sind,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Darunter fällt insbesondere eine unvollständige Sachverhaltsabklärung aufgrund einer klaren Verletzung des Untersuchungsgrundsatzes (Urteil 9C_928/2010 vom 7. Februar 2011 E. 3.4.1 mit Hinweisen; zur Geltung des Untersuchungsgrundsatzes vor Inkrafttreten des ATSG am 1. Januar 2003 siehe altArt. 47 Abs. 1 UVG und BGE 129 V 323 S. 325; zur heutigen Rechtslage vgl. Art. 43 Abs. 1 ATSG und BGE 9C_400/2010 vom 9. September 2010 E. 4.1.1).</w:t>
      </w:r>
    </w:p>
    <w:p>
      <w:r>
        <w:rPr>
          <w:b/>
        </w:rPr>
        <w:t>E. 4.2</w:t>
      </w:r>
    </w:p>
    <w:p>
      <w:r>
        <w:t>Die Vorinstanz - auf deren Erwägungen verwiesen wird - hat richtig festgestellt, dass sich die Zürich bei Erlass der Komplementärrentenverfügung vom 12. Oktober 2001 im Wesentlichen auf die Berichte des Dr. med. I.________, FMH Physikalische Medizin und Rehabilitation, Leitender Arzt, Zentrum K.________, vom 12. Juni und 17. September 2001 gestützt hat. Dies ist denn auch unbestritten. Weiter ist der Vorinstanz beizupflichten, dass diese Arztberichte, die je eine Seite umfassten, kaum begründet waren und die beweisrechtlichen Anforderungen an eine medizinischen Beurteilungsgrundlage ( BGE 134 V 231 E. 5.1 S. 232) nicht erfüllten. Die Rentenzusprechung basierte somit nicht auf einer schlüssigen und nachvollziehbaren fachärztlichen Einschätzung der Arbeitsfähigkeit. Die auf ungenügenden Grundlagen beruhende und damit in Verletzung des Untersuchungsgrundsatzes erfolgte Invaliditätsbemessung war nicht rechtskonform und die entsprechende Verfügung demzufolge zweifellos unrichtig im wiedererwägungsrechtlichen Sinn (vgl. auch Urteil 8C_224/2009 vom 27. Juli 2009 E. 3.3.2). Die Beschwerdeführerin macht geltend, selbst wenn heute Zweifel an den damals gestellten Diagnosen und der gestützt darauf attestierten Arbeitsunfähigkeit aufkämen, stehe diesem Zweifel durchaus die Möglichkeit gegenüber, dass sie korrekt gewesen seien; Gegenteiliges habe die Zürich nicht bewiesen, weshalb von der Richtigkeit der ursprünglichen Rentenverfügung auszugehen sei. Jedenfalls könne nicht deren zweifellose Unrichtigkeit angenommen werden. Dieser Argumentation der Versicherten kann nicht gefolgt werden. Sie verkennt, dass die zweifellose Unrichtigkeit nicht in den gestellten Diagnosen und der Einschätzung der Arbeits(un)fähigkeit bestehen muss, sondern sich hier aus der klaren Verletzung des Untersuchungsgrundsatzes ergibt.</w:t>
      </w:r>
    </w:p>
    <w:p>
      <w:r>
        <w:rPr>
          <w:b/>
        </w:rPr>
        <w:t>E. 5.1</w:t>
      </w:r>
    </w:p>
    <w:p>
      <w:r>
        <w:t>Steht die zweifellose Unrichtigkeit der ursprünglichen Rentenverfügung vom 12. Oktober 2001 fest und ist die Berichtigung von erheblicher Bedeutung, was auf periodische Dauerleistungen regelmässig zutrifft ( BGE 119 V 475 E. 1c S. 480), sind die Anspruchsberechtigung der Versicherten und allenfalls der Umfang des Anspruchs pro futuro zu prüfen (Urteile 8C_224/2009 vom 27. Juli 2009 E. 3.4 und 8C_339/2008 vom 11. November 2008 E. 3.4), was Vorinstanz und Beschwerdegegnerin übersehen haben. Zu dieser Frage hat sich die Vorinstanz zwar nicht geäussert. Da die Sache diesbezüglich jedoch spruchreif ist und die Versicherte hierzu in der vorinstanzlichen Beschwerde Stellung genommen hat, ist von einer Rückweisung der Sache an die Vorinstanz zur Neubeurteilung abzusehen, zumal die Beschwerde ans Bundesgericht ein reformatorisches Rechtsmittel ist ( Art. 107 Abs. 2 BGG ; BGE 136 V 131 E. 1.2 S. 135; Urteil 8C_257/2010 vom 1. Juni 2010 E. 4.1).</w:t>
      </w:r>
    </w:p>
    <w:p>
      <w:r>
        <w:rPr>
          <w:b/>
        </w:rPr>
        <w:t>E. 5.2</w:t>
      </w:r>
    </w:p>
    <w:p>
      <w:r>
        <w:t>Das interdisziplinäre (internistische, rheumatologische und psychiatrische) Gutachten des Zentrums M.________ vom 12. September 2008, in dessen Rahmen die Versicherte am 26. Juni und 31. Juli 2008 untersucht wurde, erfüllt die praxisgemässen Anforderungen an eine rechtsgenügliche medizinische Beurteilungsgrundlage (vgl. E. 4.2 hievor). Die Zürich hat gestützt hierauf in der Verfügung vom 9. Juni 2009 und im streitigen Einspracheentscheid vom 5. November 2009 richtig festgestellt, dass die Versicherte seit 1. August 2008 in der angestammten Tätigkeit als Sekretärin und Büroangestellte zu 100 % arbeitsfähig ist. Demnach beträgt der Invaliditätsgrad 0 % und ist die Aufhebung der Komplementärrente pro futuro ab 1. Juli 2009 nicht zu beanstanden.</w:t>
      </w:r>
    </w:p>
    <w:p>
      <w:r>
        <w:rPr>
          <w:b/>
        </w:rPr>
        <w:t>E. 6</w:t>
      </w:r>
    </w:p>
    <w:p>
      <w:r>
        <w:t>Weiter hat die Zürich aufgrund des Gutachtens des Zentrums M.________ zutreffend erkannt, dass keine weitere ärztliche Heilbehandlung der Unfallfolgen erforderlich war. Die diesbezügliche Leistungseinstellung per 31. Juli 2008 ist somit ebenfalls nicht zu beanstanden ( Art. 19 Abs. 1 UVG ; vgl. BGE 134 V 109 E. 4 S. 113 ff.).</w:t>
      </w:r>
    </w:p>
    <w:p>
      <w:r>
        <w:rPr>
          <w:b/>
        </w:rPr>
        <w:t>E. 7</w:t>
      </w:r>
    </w:p>
    <w:p>
      <w:r>
        <w:t>Die Einwendungen der Beschwerdeführerin vermögen dieses Resultat nicht zu entkräften. Nach dem Gesagten ist der kantonale Entscheid im Ergebnis rechtens.</w:t>
      </w:r>
    </w:p>
    <w:p>
      <w:r>
        <w:rPr>
          <w:b/>
        </w:rPr>
        <w:t>E. 8</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