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279/2019 vom 3. Juli 2019</w:t>
      </w:r>
    </w:p>
    <w:p>
      <w:r>
        <w:t>Bundesgericht, 2019-07-03, DE</w:t>
      </w:r>
    </w:p>
    <w:p>
      <w:r>
        <w:rPr>
          <w:b/>
        </w:rPr>
        <w:t xml:space="preserve">Quelle: </w:t>
      </w:r>
      <w:r>
        <w:t>https://mcp.opencaselaw.ch/entscheid/bger_8C_279_2019</w:t>
      </w:r>
    </w:p>
    <w:p>
      <w:r>
        <w:t>FR: TF 8C 279/2019 du 3 juillet 2019</w:t>
      </w:r>
    </w:p>
    <w:p>
      <w:r>
        <w:t>IT: TF 8C 279/2019 del 3 luglio 2019</w:t>
      </w:r>
    </w:p>
    <w:p>
      <w:pPr>
        <w:pStyle w:val="Heading2"/>
      </w:pPr>
      <w:r>
        <w:t>Regeste</w:t>
      </w:r>
    </w:p>
    <w:p>
      <w:r>
        <w:t>Invalidenversicherung (kantonales Verfahren; Ausstand) | Invalidenversicherung</w:t>
      </w:r>
    </w:p>
    <w:p>
      <w:pPr>
        <w:pStyle w:val="Heading2"/>
      </w:pPr>
      <w:r>
        <w:t>Erwägungen</w:t>
      </w:r>
    </w:p>
    <w:p>
      <w:r>
        <w:rPr>
          <w:b/>
        </w:rPr>
        <w:t>E. 1</w:t>
      </w:r>
    </w:p>
    <w:p>
      <w:r>
        <w:t>Bei der angefochtenen Verfügung handelt es sich um einen selbständig eröffneten Zwischenentscheid einer letzten kantonalen Instanz im Sinne von Art. 86 Abs. 1 lit. d BGG über ein Ausstandsbegehren ( Art. 92 Abs. 1 BGG ) im Rahmen einer Streitigkeit (Rente der Invalidenversicherung), die der Beschwerde in öffentlich-rechtlichen Angelegenheiten unterliegt ( Art. 82 lit. a BGG und Art. 62 Abs. 1 ATSG ). Die weiteren Sachurteilsvoraussetzungen sind ebenfalls erfüllt und geben zu keinen Bemerkungen Anlass. Die Beschwerde in öffentlich-rechtlichen Angelegenheiten ist somit zulässig, und es ist darauf einzutreten ( BGE 133 III 645 E. 2.2 S. 647 f.).</w:t>
      </w:r>
    </w:p>
    <w:p>
      <w:r>
        <w:rPr>
          <w:b/>
        </w:rPr>
        <w:t>E. 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3.1</w:t>
      </w:r>
    </w:p>
    <w:p>
      <w:r>
        <w:t>Streitig und zu prüfen ist, ob die Vorinstanz Bundesrecht verletzte, indem sie das Ausstandsbegehren gegen Verwaltungsrichter C.________ abwies. Soweit die Beschwerdeführerin im Weiteren geltend macht, die vorgesehene Begutachtung dürfe nicht durch Dr. med. D.________ erfolgen, ist darauf nicht einzutreten. Denn mit Verfügung vom 19. Februar 2019 wurde das IV-Beschwerdeverfahren sistiert und in Aussicht gestellt, dass über die Gutachtensvergabe nach Abschluss des Verfahrens betreffend Ausstand von Verwaltungsrichter C.________ entschieden werde.</w:t>
      </w:r>
    </w:p>
    <w:p>
      <w:r>
        <w:rPr>
          <w:b/>
        </w:rPr>
        <w:t>E. 3.2</w:t>
      </w:r>
    </w:p>
    <w:p>
      <w:r>
        <w:t>Im angefochtenen Entscheid wurden die einschlägigen Rechtsgrundlagen nach Gesetz und Rechtsprechung zutreffend dargelegt. Darauf wird verwiesen.</w:t>
      </w:r>
    </w:p>
    <w:p>
      <w:r>
        <w:rPr>
          <w:b/>
        </w:rPr>
        <w:t>E. 4</w:t>
      </w:r>
    </w:p>
    <w:p>
      <w:r>
        <w:t>Die Vorinstanz verneinte einen Ausstandsgrund. Sie erwog, es lägen keine Umstände vor, welche objektiv den Anschein der Befangenheit oder die Gefahr der Voreingenommenheit erwecken könnten. Es sei zu beachten, dass das Instruktionsverfahren IV/2018/785 noch lange nicht abgeschlossen sei und namentlich noch das vorgesehene Gutachten erstellt werden müsse. Dass sich der betreffende Instruktionsrichter in dieser Phase des Beweisverfahrens bereits eine abschliessende Meinung gebildet hätte, gehe weder aus seinen bisherigen Schreiben resp. Verfügungen hervor noch enthielten diese eine vorläufige Prognose über den Ausgang des Verfahrens. Auch seien keine Anhaltspunkte für unzutreffende oder aktenwidrige Feststellungen in den Verfügungen, insbesondere in derjenigen vom 21. Januar 2019, ersichtlich. Hinsichtlich der Rügen betreffend den vorgesehenen Experten und die Formulierung des Fragenkatalogs werde sodann im Rahmen der weiteren Instruktion des Hauptverfahrens zu entscheiden sein, wobei der Gesuchstellerin der Rechtsweg offen stehen werde. Weiter begründe auch die Tatsache, dass dem vorgesehenen Gutachter der provisorische Fragenkatalog bereits zugestellt worden sei, keinen Anschein der Befangenheit. Im Übrigen hätten die medizinischen Sachverständigen unter eigenhändiger Prüfung aller ihnen vorliegenden Unterlagen und eigenen Erhebungen nach den Qualitätsleitlinien ihres Fachgebiets allein der medizinischen Lehre folgend in vollständiger Unabhängigkeit (insbesondere auch von Gerichtsmitgliedern) ihre abschliessende Expertise abzugeben. Es bestünden keine Anzeichen, dass der betreffende Instruktionsrichter diese Grundsätze nicht anerkennen würde oder gar unzulässigerweise auf den Gutachter hätte einwirken wollen. Soweit die Gesuchstellerin des Weiteren die Aussagekraft bestimmter Aktenstücke thematisiere, handle es sich dabei um eine Frage der Beweiswürdigung, welche Gegenstand des Verfahrens in der Hauptsache bilde und in diesem Rahmen beanstandet werde könne. Ferner sei zu berücksichtigen, dass die Rückweisung durch das Bundesgericht zu weiteren Abklärungen und neuer Entscheidung an das Verwaltungsgericht ohne die explizite Vorgabe erfolgt sei, dass die zusätzlichen Abklärungen beim gleichen Gutachter stattfinden müssten. Schliesslich seien auch keine besonders krassen und wiederholten Irrtümer in der Verfahrensführung ersichtlich, welche einer schweren Amtspflichtverletzung gleichkämen und sich somit einseitig zu Lasten der Gesuchstellerin auswirken würden.</w:t>
      </w:r>
    </w:p>
    <w:p>
      <w:r>
        <w:rPr>
          <w:b/>
        </w:rPr>
        <w:t>E. 5</w:t>
      </w:r>
    </w:p>
    <w:p>
      <w:r>
        <w:t>Die Beschwerdeführerin vermag diese Auffassung nicht als bundesrechtswidrig auszuweisen.</w:t>
      </w:r>
    </w:p>
    <w:p>
      <w:r>
        <w:rPr>
          <w:b/>
        </w:rPr>
        <w:t>E. 5.1</w:t>
      </w:r>
    </w:p>
    <w:p>
      <w:r>
        <w:t>Aus dem Umstand, dass Verwaltungsrichter C.________ nunmehr die Einholung eines Gerichtsgutachtens für angezeigt hält, wohingegen das Verwaltungsgericht des Kantons Bern im Entscheid vom 9. Mai 2018 (Verfahren IV/2018/72) die von der IV-Stelle veranlassten Gutachten vom 9. Juni und 20. Juli 2017 noch als beweiskräftige Entscheidgrundlage beurteilte, kann nicht abgeleitet werden, der Ausgang des Verfahrens IV/2018/785 sei nicht mehr offen. So gelangte der Verwaltungsrichter erst aufgrund seiner Abklärungen im Nachgang zum Urteil des Bundesgerichts 8C_450/2018 vom 16. Oktober 2018 zur Erkenntnis, ein neues Gutachten sei angezeigt.</w:t>
      </w:r>
    </w:p>
    <w:p>
      <w:r>
        <w:rPr>
          <w:b/>
        </w:rPr>
        <w:t>E. 5.2</w:t>
      </w:r>
    </w:p>
    <w:p>
      <w:r>
        <w:t>Die Beschwerdeführerin bringt weiter vor, die von Verwaltungsrichter C.________ vorgenommene Aktenergänzung und die Konkretisierung der Gutachterfragen würden unzählige Anmerkungen beinhalten, welche berechtigte Zweifel an der Offenheit des Prozesses aufkommen liessen. Dies betreffe etwa die aus dem Kontext gerissenen Passagen und Aussagen der Versicherten aus Bewerbungsschreiben und Arbeitszeugnissen. Hierzu ist festzuhalten, dass der Beschwerdeführerin im (sistierten) Verfahren IV/2018/785 bereits Gelegenheit gegeben wurde, sich zu den Gutachterfragen zu äussern. Ihre Einwände wird sie dort vorbringen können. Im Übrigen vermag die Beschwerdeführerin nicht darzutun, inwiefern die Anmerkungen des betreffenden Instruktionsrichters in der verfahrensleitenden Verfügung vom 21. Januar 2019 auf eine Einflussnahme auf das Beweisergebnis schliessen lassen sollen.</w:t>
      </w:r>
    </w:p>
    <w:p>
      <w:r>
        <w:rPr>
          <w:b/>
        </w:rPr>
        <w:t>E. 5.3</w:t>
      </w:r>
    </w:p>
    <w:p>
      <w:r>
        <w:t>Schliesslich vermag auch die Tatsache, dass Verwaltungsrichter C.________ dem vorgesehenen Gutachter den provisorischen Fragenkatalog bereits zugestellt hat, bevor die Anhörung der Parteien abgeschlossen war, nicht den objektiven Anschein der Voreingenommenheit zu begründen. Soweit die Beschwerdeführerin befürchtet, der designierte Gutachter könne seine Beurteilung nicht mehr unvoreingenommen vornehmen, ist dies nicht Gegenstand des vorliegenden Verfahrens (vgl. E. 3.1 hiervor).</w:t>
      </w:r>
    </w:p>
    <w:p>
      <w:r>
        <w:rPr>
          <w:b/>
        </w:rPr>
        <w:t>E. 5.4</w:t>
      </w:r>
    </w:p>
    <w:p>
      <w:r>
        <w:t>Nach dem Gesagten verletzt die Abweisung des Ausstandsbegehrens gegen den Instruktionsrichter des Verfahrens IV/2018/785 durch die Vorinstanz (Dispositiv-Ziffer 1 des angefochtenen Entscheids) kein Bundesrecht.</w:t>
      </w:r>
    </w:p>
    <w:p>
      <w:r>
        <w:rPr>
          <w:b/>
        </w:rPr>
        <w:t>E. 6</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7</w:t>
      </w:r>
    </w:p>
    <w:p>
      <w:r>
        <w:t>Dem Ausgang des Verfahrens entsprechend hat die Beschwerdeführerin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