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8C_278/2019 vom 17. Juli 2019</w:t>
      </w:r>
    </w:p>
    <w:p>
      <w:r>
        <w:t>Bundesgericht, 2019-07-17, DE</w:t>
      </w:r>
    </w:p>
    <w:p>
      <w:r>
        <w:rPr>
          <w:b/>
        </w:rPr>
        <w:t xml:space="preserve">Quelle: </w:t>
      </w:r>
      <w:r>
        <w:t>https://mcp.opencaselaw.ch/entscheid/bger_8C_278_2019</w:t>
      </w:r>
    </w:p>
    <w:p>
      <w:r>
        <w:t>FR: TF 8C_278/2019 du 17 juillet 2019</w:t>
      </w:r>
    </w:p>
    <w:p>
      <w:r>
        <w:t>IT: TF 8C_278/2019 del 17 luglio 2019</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die rentenanspruchsverneinende Verfügung der IV-Stelle vom 6. September 2016 bestätigte.</w:t>
      </w:r>
    </w:p>
    <w:p>
      <w:r>
        <w:rPr>
          <w:b/>
        </w:rPr>
        <w:t>E. 2.2</w:t>
      </w:r>
    </w:p>
    <w:p>
      <w:r>
        <w:t>Im angefochtenen Entscheid wurden die massgeblichen Rechtsgrundlagen zutreffend dargelegt. Darauf wird verwiesen ( Art. 109 Abs. 3 BGG ).</w:t>
      </w:r>
    </w:p>
    <w:p>
      <w:r>
        <w:rPr>
          <w:b/>
        </w:rPr>
        <w:t>E. 3.1</w:t>
      </w:r>
    </w:p>
    <w:p>
      <w:r>
        <w:t>Die Vorinstanz stellte nach einlässlicher Würdigung der medizinischen Akten und der Ergebnisse der beruflichen Eingliederungsbemühungen fest, die IV-Stelle sei zu Recht von einer vollen Arbeitsfähigkeit in einer adaptierten Tätigkeit ausgegangen. Die Ärzte hätten immer wieder darauf hingewiesen, dass insbesondere Kontroll- und administrative Tätigkeiten für den Beschwerdeführer geeignet wären. Dies zeige, dass zumindest auf dem ausgeglichenen Arbeitsmarkt durchaus Stellen vorhanden wären, welche dem Beschwerdeführer unter Berücksichtigung der Adaptionskriterien zumutbar wären. Damit sei von einer Verwertbarkeit der Restarbeitsfähigkeit auszugehen. Weiter beziehe sich die im Bericht des Psychiatrie-Zentrums C.________ vom 30. April 2015 attestierte Arbeitsunfähigkeit lediglich auf die somatischen Einschränkungen und nicht auf die psychischen Beschwerden. Aus psychiatrischer Sicht bestehe demnach keine Einschränkung der Arbeitsfähigkeit. In Anwendung der allgemeinen Methode des Einkommensvergleichs gelangte die Vorinstanz schliesslich zum Ergebnis, dass sich selbst unter Vornahme einer allfälligen Parallelisierung und unter Berücksichtigung eines maximalen Tabellenlohnabzugs kein rentenbegründender Invaliditätsgrad ergäbe.</w:t>
      </w:r>
    </w:p>
    <w:p>
      <w:r>
        <w:rPr>
          <w:b/>
        </w:rPr>
        <w:t>E. 3.2</w:t>
      </w:r>
    </w:p>
    <w:p>
      <w:r>
        <w:t>Die Vorbringen des Beschwerdeführers vermögen an den überzeugenden vorinstanzlichen Schlussfolgerungen nichts zu ändern, zumal sie sich im Wesentlichen in einer Wiederholung der bereits im kantonalen Beschwerdeverfahren erhobenen und entkräfteten Rügen erschöpfen.</w:t>
      </w:r>
    </w:p>
    <w:p>
      <w:r>
        <w:rPr>
          <w:b/>
        </w:rPr>
        <w:t>E. 3.2.1</w:t>
      </w:r>
    </w:p>
    <w:p>
      <w:r>
        <w:t>Wie bereits im kantonalen Beschwerdeverfahren macht der Versicherte auch vor Bundesgericht geltend, bei sämtlichen bisherigen Anstellungen und Arbeitsversuchen seit 2009 sei es zu Hautekzemen gekommen, sodass von einer uneingeschränkten Arbeitsfähigkeit in einer leidensadaptierten Tätigkeit keine Rede sein könne. Er beruft sich dabei auf Ausführungen des zuständigen Eingliederungsverantwortlichen im Bericht vom 3. Juli 2013, wonach sich in einer ärztlich adaptierten Tätigkeit wiederum Hautveränderungen gezeigt hätten, infolgedessen die Massnahme abgebrochen worden sei und auch in adaptierter Tätigkeit keine Eingliederungsfähigkeit bestehe. Hierzu stellte die Vorinstanz unter Bezugnahme auf die verschiedenen ausgeübten Tätigkeiten und die bei den Akten liegenden medizinischen Berichte fest, dass es sich stets um nicht optimal adaptierte Tätigkeiten gehandelt habe. Inwiefern diese Feststellung offensichtlich unrichtig sein soll, legt der Beschwerdeführer nicht dar und ist auch nicht ersichtlich, weshalb sie für das Bundesgericht verbindlich bleibt (vgl. E. 1 hiervor). Allein die Mutmassung, es sei davon auszugehen, dass die IV-Stelle keine Arbeiten getestet habe, die nicht im Einklang mit der Nichteignungsverfügung der Suva gestanden hätten, genügt jedenfalls nicht. Im Übrigen ist darauf hinzuweisen, dass die abschliessende Beurteilung der sich aus einem Gesundheitsschaden ergebenden funktionellen Leistungsfähigkeit in der Hauptsache den ärztlichen Fachpersonen und nicht den Eingliederungsfachpersonen obliegt (vgl. Urteil 9C_646/2016 vom 16. März 2017 E. 4.2.2 mit Hinweisen).</w:t>
      </w:r>
    </w:p>
    <w:p>
      <w:r>
        <w:rPr>
          <w:b/>
        </w:rPr>
        <w:t>E. 3.2.2</w:t>
      </w:r>
    </w:p>
    <w:p>
      <w:r>
        <w:t>Soweit der Beschwerdeführer erneut vorbringt, seine Restarbeitsfähigkeit sei nicht verwertbar, da er nicht über die notwendigen Ausbildungen verfüge, übt er im Wesentlichen appellatorische Kritik (vgl. BGE 140 III 264 E. 2.3 S. 266) am angefochtenen Entscheid, was nicht genügt. Die Vorinstanz stellte fest, dem Beschwerdeführer seien Kontrolltätigkeiten oder Be- und Überwachungsaufgaben zumutbar. Dr. med. D.________ habe explizit eine Stelle beim Sicherheitsdienst der Gesellschaft E.________ erwähnt. Auf dem ausgeglichenen Arbeitsmarkt seien demnach durchaus zumutbare Stellen vorhanden. Inwiefern diese, auf konkreter Beweiswürdigung beruhende, Beurteilung offensichtlich unrichtig sein soll, vermag der Beschwerdeführer nicht darzutun, zumal auch nicht ersichtlich ist, inwiefern für die genannten Tätigkeiten eine spezifische Ausbildung vorausgesetzt sein soll. Die entsprechende Feststellung bleibt für das Bundesgericht somit verbindlich (vgl. E. 1 hiervor).</w:t>
      </w:r>
    </w:p>
    <w:p>
      <w:r>
        <w:rPr>
          <w:b/>
        </w:rPr>
        <w:t>E. 3.3</w:t>
      </w:r>
    </w:p>
    <w:p>
      <w:r>
        <w:t>Nach dem Gesagten ist nicht zu beanstanden, dass die Vorinstanz mit der IV-Stelle den Anspruch auf eine Invalidenrente verneint hat.</w:t>
      </w:r>
    </w:p>
    <w:p>
      <w:r>
        <w:rPr>
          <w:b/>
        </w:rPr>
        <w:t>E. 4</w:t>
      </w:r>
    </w:p>
    <w:p>
      <w:r>
        <w:t>Da die Beschwerde offensichtlich unbegründet ist, wird sie im Verfahren nach Art. 109 Abs. 2 lit. a BGG mit summarischer Begründung und unter Hinweis auf den kantonalen Gerichtsentscheid (Abs. 3) erledigt.</w:t>
      </w:r>
    </w:p>
    <w:p>
      <w:r>
        <w:rPr>
          <w:b/>
        </w:rPr>
        <w:t>E. 5.1</w:t>
      </w:r>
    </w:p>
    <w:p>
      <w:r>
        <w:t>Dem Ausgang des Verfahrens entsprechend hat der Beschwerdeführer die Kosten zu tragen ( Art. 66 Abs. 1 BGG ).</w:t>
      </w:r>
    </w:p>
    <w:p>
      <w:r>
        <w:rPr>
          <w:b/>
        </w:rPr>
        <w:t>E. 5.2</w:t>
      </w:r>
    </w:p>
    <w:p>
      <w:r>
        <w:t>Da die Beschwerde offensichtlich unbegründet ist ( Art. 109 Abs. 2 lit. a BGG ), ist sie als aussichtslos im Sinne von Art. 64 Abs. 1 BGG zu bezeichnen (vgl. THOMAS GEISER, in Basler Kommentar, Bundesgerichtsgesetz, 3. Aufl. 2018, N. 22 zu Art. 64 BGG ).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