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8C_277/2024 vom 4. Juni 2024</w:t>
      </w:r>
    </w:p>
    <w:p>
      <w:r>
        <w:t>Bundesgericht, 2024-06-04, DE</w:t>
      </w:r>
    </w:p>
    <w:p>
      <w:r>
        <w:rPr>
          <w:b/>
        </w:rPr>
        <w:t xml:space="preserve">Quelle: </w:t>
      </w:r>
      <w:r>
        <w:t>https://mcp.opencaselaw.ch/entscheid/bger_8C_277_2024</w:t>
      </w:r>
    </w:p>
    <w:p>
      <w:r>
        <w:t>FR: TF 8C_277/2024 du 4 juin 2024</w:t>
      </w:r>
    </w:p>
    <w:p>
      <w:r>
        <w:t>IT: TF 8C_277/2024 del 4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28. März 2024 den Einspracheentscheid der Beschwerdegegnerin vom 12. Dezember 2023, worin das Gesuch des Beschwerdeführers um Erlass der Rückerstattung unrechtmässig bezogener Leistungen von insgesamt Fr. 14'833.- für die Monate August 2020 bis August 2023 (Ergänzungsleistungen: Fr. 3'232.-; Beihilfen: Fr. 5'151.-; Gemeindezuschüsse Fr. 6'450.-) abgewiesen wurde. Dabei führte es auch aus, weshalb weder Bestand noch Umfang der Rückforderung zum Streitthema erhoben werden können. So sei darüber bereits mit unangefochten gebliebener Verfügung der Beschwerdegegnerin vom 29. August 2023 rechtskräftig entschieden worden. Wenn der Beschwerdeführer dies nunmehr zu thematisieren versuche, erfolge dies verspätet und könne nicht mehr gehört werden.</w:t>
      </w:r>
    </w:p>
    <w:p>
      <w:r>
        <w:rPr>
          <w:b/>
        </w:rPr>
        <w:t>E. 3</w:t>
      </w:r>
    </w:p>
    <w:p>
      <w:r>
        <w:t>Der Beschwerdeführer versucht letztinstanzlich allein die Höhe der Rückerstattungsschuld einer Diskussion zuzuführen, ohne indessen auf das von der Vorinstanz dazu bereits Erwogene oder auf den ihm abgesprochenen guten Glauben einzugehen. Damit genügt er den eingangs aufzeigten minimalen Begründungsanforderungen nicht.</w:t>
      </w:r>
    </w:p>
    <w:p>
      <w:r>
        <w:rPr>
          <w:b/>
        </w:rPr>
        <w:t>E. 4</w:t>
      </w:r>
    </w:p>
    <w:p>
      <w:r>
        <w:t>L 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