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277/2017 vom 8. Mai 2017</w:t>
      </w:r>
    </w:p>
    <w:p>
      <w:r>
        <w:t>Bundesgericht, 2017-05-08, DE</w:t>
      </w:r>
    </w:p>
    <w:p>
      <w:r>
        <w:rPr>
          <w:b/>
        </w:rPr>
        <w:t xml:space="preserve">Quelle: </w:t>
      </w:r>
      <w:r>
        <w:t>https://mcp.opencaselaw.ch/entscheid/bger_8C_277_2017</w:t>
      </w:r>
    </w:p>
    <w:p>
      <w:r>
        <w:t>FR: TF 8C 277/2017 du 8 mai 2017</w:t>
      </w:r>
    </w:p>
    <w:p>
      <w:r>
        <w:t>IT: TF 8C 277/2017 del 8 maggio 2017</w:t>
      </w:r>
    </w:p>
    <w:p>
      <w:pPr>
        <w:pStyle w:val="Heading2"/>
      </w:pPr>
      <w:r>
        <w:t>Regeste</w:t>
      </w:r>
    </w:p>
    <w:p>
      <w:r>
        <w:t>Sozialhilfe (Rückerstattung) | Gesundheitswesen &amp; soziale Sicherheit</w:t>
      </w:r>
    </w:p>
    <w:p>
      <w:pPr>
        <w:pStyle w:val="Heading2"/>
      </w:pPr>
      <w:r>
        <w:t>Erwägungen</w:t>
      </w:r>
    </w:p>
    <w:p>
      <w:r>
        <w:rPr>
          <w:b/>
        </w:rPr>
        <w:t>E. 1.1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Willkür geprüft ( BGE 139 I 169 E. 6.1 S. 172 f. ; 136 I 316 E. 2.2.1 S. 318; je mit Hinweisen). Diesbezüglich gilt, wie generell in Bezug auf die Verletzung von Grundrechten, eine qualifizierte Rüge- und Substanziierungspflicht ( Art. 106 Abs. 2 BGG ; BGE 136 II 304 E. 2.5 S. 314). Gelten durch Verweis im kantonalen öffentlichen Recht ergänzend Bestimmungen des Bundesrechts, werden diese zum öffentlichen Recht des betreffenden Gemeinwesens. Sie sind nach dessen Regeln anzuwenden und auszulegen. Die übernommenen Regeln gelten somit als subsidiäres Recht des Kantons. Entsprechend ist die Bundesrechtsrüge gemäss Art. 95 lit. a BGG auf die Verletzung verfassungsmässiger Rechte beschränkt (vgl. BGE 140 I 320 E. 3.3 S. 322 mit weiteren Hinweisen).</w:t>
      </w:r>
    </w:p>
    <w:p>
      <w:r>
        <w:rPr>
          <w:b/>
        </w:rPr>
        <w:t>E. 1.2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w:t>
      </w:r>
    </w:p>
    <w:p>
      <w:r>
        <w:t>Streitig ist der Anspruch des Beschwerdeführers auf wirtschaftliche Sozialhilfe durch die Politische Gemeinde X.________ in der Zeit ab 1. Januar 2012 sowie die Rückerstattung allfällig zu Unrecht ausbezahlter Leistungen. Dabei ist nicht mehr streitig, dass der Beschwerdeführer im fraglichen Zeitraum weder Wohnsitz noch Aufenthalt in X.________ hatte. Streitig und zu prüfen ist jedoch, ob die Vorinstanz Bundesrecht verletzte, als sie daraus folgerte, der Anspruch des Beschwerdeführers gegen die Politische Gemeinde X.________ sei damit dahingefallen und er sei deshalb zur Rückerstattung der bereits bezogenen Leistungen zu vepflichten.</w:t>
      </w:r>
    </w:p>
    <w:p>
      <w:r>
        <w:rPr>
          <w:b/>
        </w:rPr>
        <w:t>E. 3.1</w:t>
      </w:r>
    </w:p>
    <w:p>
      <w:r>
        <w:t>Gemäss § 1 des Gesetzes des Kantons Thurgau über die öffentliche Sozialhilfe (Sozialhilfegesetz; SHG TG) treffen die politischen Gemeinden Vorkehren, um soziale Not zu verhindern. Sie leisten Hilfe zu deren Behebung. Verfügt jemand nicht über hinreichende Mittel zur Bestreitung des Lebensunterhaltes für sich und seine Angehörigen mit gleichem Wohnsitz, sorgt in Anwendung von § 8 SHG TG die Gemeinde für die notwendige Unterstützung, sofern von Hilfsbedürftigen nicht verlangt werden kann, sich die Mittel durch eigene Arbeit zu beschaffen, und keine andere Hilfe möglich ist. Zuständig ist gemäss § 4 Abs. 1 SHG TG die Wohnsitzgemeinde des Hilfsbedürftigen. Die Gemeinde des Aufenthaltsortes ist zuständig, solange die Wohnsitzgemeinde nicht feststeht oder wenn jemand unaufschiebbar Hilfe benötigt. Wohnsitz und Aufenthalt bestimmen sich gemäss § 4 Abs. 2 SHG TG nach den Vorschriften des Bundes über die Zuständigkeit für die Unterstützung Bedürftiger, mithin in analoger Anwendung des Bundesgesetzes vom 24. Juni 1977 über die Zuständigkeit für die Unterstützung Bedürftiger (Zuständigkeitsgesetz, ZUG; SR 851.1).</w:t>
      </w:r>
    </w:p>
    <w:p>
      <w:r>
        <w:rPr>
          <w:b/>
        </w:rPr>
        <w:t>E. 3.2</w:t>
      </w:r>
    </w:p>
    <w:p>
      <w:r>
        <w:t>Das kantonale Gericht hat erwogen, mit dem Wegfall des Wohnsitzes und des Aufenthaltes im Sinne von § 4 SHG TG in der bisher leistungspflichtigen Gemeinde sei der Anspruch auf Unterstützung gemäss § 8 SHG TG durch diese Gemeinde dahingefallen. Inwiefern diese Auslegung des kantonalen Rechts willkürlich oder sonstwie bundesrechtswidrig sein sollte, ist entgegen den Ausführungen des Beschwerdeführers nicht ersichtlich: Ein Leistungsanspruch richtet sich im Bereich der öffentlichen Sozialhilfe regelmässig gegen ein bestimmtes Gemeinwesen; gegen ein unzuständiges Gemeinwesen besteht in aller Regel kein Leistungsanspruch.</w:t>
      </w:r>
    </w:p>
    <w:p>
      <w:r>
        <w:rPr>
          <w:b/>
        </w:rPr>
        <w:t>E. 3.3</w:t>
      </w:r>
    </w:p>
    <w:p>
      <w:r>
        <w:t>Das kantonale Gericht begründete seine Bestätigung der Leistungseinstellung mit dem Wegfall einer Anspruchsvoraussetzung, und nicht mit einer Sanktionierung des Beschwerdeführers für pflichtwidriges Verhalten. Es verstösst somit nicht gegen Bundesrecht, dass die Vorinstanz nicht die kantonale Regelung zur Leistungskürzung und -einstellung wegen Nicht-Befolgens von Anordnungen der Behörden anwendete und damit insbesondere auf das Erfordernis einer schriftlichen Verwarnung verzichtete. Damit durfte die Vorinstanz, ohne damit gegen Bundesrecht zu verstossen, eine Leistungspflicht der Beschwerdegegnerin für die Zeit ab 1. Januar 2012 verneinen.</w:t>
      </w:r>
    </w:p>
    <w:p>
      <w:r>
        <w:rPr>
          <w:b/>
        </w:rPr>
        <w:t>E. 3.4</w:t>
      </w:r>
    </w:p>
    <w:p>
      <w:r>
        <w:t>Gemäss § 19 Abs. 1 SHG TG sind zu Unrecht bezogene Leistungen samt Zins zurückzuerstatten. Nachdem seit dem 1. Januar 2012 keine Leistungspflicht der Beschwerdegegnerin mehr bestand, sind die ab diesem Zeitpunkt erbrachten Leistungen zu Unrecht bezogen. Der Beschwerdeführer legt nicht dar, dass er zwischenzeitlich bei einer anderen (schweizerischen) Gemeinde finanzielle Unterstützung beantragt hat. Damit steht weder die Leistungspflicht einer anderen Gemeinde fest noch bestand für die Beschwerdegegnerin eine Möglichkeit, die Rückerstattung der bezogenen Leistungen von einer anderen Gemeinde zu verlangen. Somit braucht auch nicht näher geprüft zu werden, ob ein Ausgleich unter den beteiligten Gemeinden von Bundesrechts wegen vor einer Rückerstattung durch den Bezüger Priorität hätte. Es verstösst jedenfalls bei dieser Ausgangslage nicht gegen Bundesrecht, dass die Gemeinde die Rückerstattung der bezogenen Leistungen durch den Beschwerdeführer anordnete.</w:t>
      </w:r>
    </w:p>
    <w:p>
      <w:r>
        <w:rPr>
          <w:b/>
        </w:rPr>
        <w:t>E. 3.5</w:t>
      </w:r>
    </w:p>
    <w:p>
      <w:r>
        <w:t>Somit hat die Vorinstanz kein Bundesrecht verletzt, als sie die Eintstellung der Sozialhilfeleistungen durch die Beschwerdegegnerin rückwirkend auf den 1. Januar 2012 bestätigte und den Beschwerdeführer zur Rückerstattung der zu Unrecht bezogenen Leistungen verpflichtete. Die Beschwerde ist demnach abzuweisen.</w:t>
      </w:r>
    </w:p>
    <w:p>
      <w:r>
        <w:rPr>
          <w:b/>
        </w:rPr>
        <w:t>E. 4.1</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r>
        <w:rPr>
          <w:b/>
        </w:rPr>
        <w:t>E. 4.2</w:t>
      </w:r>
    </w:p>
    <w:p>
      <w:r>
        <w:t>Mit diesem Entscheid in der Sache wird das Gesuch des Beschwerdeführers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