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277/2009 vom 19. Juni 2009</w:t>
      </w:r>
    </w:p>
    <w:p>
      <w:r>
        <w:t>Bundesgericht, 2009-06-19, DE</w:t>
      </w:r>
    </w:p>
    <w:p>
      <w:r>
        <w:rPr>
          <w:b/>
        </w:rPr>
        <w:t xml:space="preserve">Quelle: </w:t>
      </w:r>
      <w:r>
        <w:t>https://mcp.opencaselaw.ch/entscheid/bger_8C_277_2009</w:t>
      </w:r>
    </w:p>
    <w:p>
      <w:r>
        <w:t>FR: TF 8C 277/2009 du 19 juin 2009</w:t>
      </w:r>
    </w:p>
    <w:p>
      <w:r>
        <w:t>IT: TF 8C 277/2009 del 19 giugno 2009</w:t>
      </w:r>
    </w:p>
    <w:p>
      <w:pPr>
        <w:pStyle w:val="Heading2"/>
      </w:pPr>
      <w:r>
        <w:t>Regeste</w:t>
      </w:r>
    </w:p>
    <w:p>
      <w:r>
        <w:t>Unfallversicherungj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8C_218/2008 vom 20. März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Bestimmungen und Grundsätze über die obligatorische Versicherung bei Berufs- und Nichtberufsunfällen (Art. 6 Abs. 1 und Art. 7 f. UVG; Art. 12 f. UVV) zutreffend dargelegt. L.________ war im Unfallzeitpunkt am 18. Februar 2002 zu 100 % (40 Wochenstunden) als Sachbearbeiter bei der Firma I.________ AG angestellt und damit gemäss dem damaligen Art. 1 Abs. 1 (seit 1. Januar 2003 Art. 1a Abs. 1) in Verbindung mit Art. 6 Abs. 1 UVG bei der Zürich obligatorisch gegen die Folgen von Berufsunfällen, Nichtberufsunfällen und Berufskrankheiten versichert. Zusätzlich arbeitete er teilzeitlich mit einem Wochenpensum von zwei Stunden als Tai Chi-Lehrer in der Schule G.________; im Rahmen dieses Arbeitsverhältnisses bestand bei der AXA Winterthur lediglich die obligatorische Berufsunfallversicherung, aber keine Nichtberufsunfallversicherung ( Art. 13 Abs. 1 UVV e contrario). Dies ist unbestritten.</w:t>
      </w:r>
    </w:p>
    <w:p>
      <w:r>
        <w:rPr>
          <w:b/>
        </w:rPr>
        <w:t>E. 3</w:t>
      </w:r>
    </w:p>
    <w:p>
      <w:r>
        <w:t>Streitig und zu prüfen ist, ob die Zürich oder die AXA Winterthur für die Folgen des Unfalls des Versicherten vom 18. Februar 2002 obligatorisch aus UVG leistungspflichtig ist.</w:t>
      </w:r>
    </w:p>
    <w:p>
      <w:r>
        <w:rPr>
          <w:b/>
        </w:rPr>
        <w:t>E. 3.1</w:t>
      </w:r>
    </w:p>
    <w:p>
      <w:r>
        <w:t>Die Vorinstanz hat in einlässlich und schlüssig begründeter Auslegung (hiezu vgl. BGE 134 I 184 E. 5.1 S. 193, 134 V 1 E. 7.2 S. 5, je mit Hinweisen) des Art. 7 Abs. 1 lit. b UVG zutreffend erkannt, dass ein Berufsunfall im Sinne dieser Bestimmung vorliegt, wenn ein sachlicher Zusammenhang zwischen der vereinbarten Arbeitstätigkeit und dem Aufenthalt der versicherten Person auf der Arbeitsstätte oder im Bereich der mit ihrer beruflichen Tätigkeit zusammenhängenden Gefahren besteht. Ihr dortiger Aufenthalt muss dem Zweck der Arbeit bzw. dem Interesse des Arbeitgebers dienen. Die versicherte Person muss sich befugterweise, d.h. im Dienste des Arbeitgebers, noch in den Arbeitsräumen aufhalten. Der erforderliche Sachzusammenhang kann trotz Verweilens der versicherten Person auf der Arbeitsstätte bzw. im entsprechenden Gefahrenbereich fehlen oder unterbrochen werden. Dies ist dann der Fall, wenn sie sich dort befindet, um Tätigkeiten im eigenen Interesse auszuführen, oder wenn sie sich dort ohne zwingende Gründe aufhält (z.B. zwecks Besuchs von Arbeitskollegen während ihrer Ferien). In diesem Sinne hat das Eidgenössische Versicherungsgericht (seit 1. Januar 2007 Bundesgericht) bereits im Urteil U 71/96 vom 24. Oktober 1997 E. 3a entschieden (mit Hinweisen auf die Lehre; vgl. ebenso: Jean-Maurice Frésard/Margit Moser-Szeless, L'assurance-accidents obligatoire, in: Schweizerisches Bundesverwaltungsrecht [SBVR], Soziale Sicherheit, 2. Aufl., Basel 2007, S. 852 f. Rz. 47). Weiter ist auf BGE 134 V 412 E. 3.2 S. 416 f. zu verweisen, wonach auch Arbeitswegunfälle nur dann als Berufsunfälle im Sinne von Art. 7 Abs. 2 UVG und Art. 13 Abs. 2 UVV gelten, wenn zwischen der Reise und der Arbeit der versicherten Person ein sachlicher Zusammenhang besteht. Gründe, im Rahmen von Art. 7 Abs. 1 lit. b UVG auf das dargelegte Erfordernis des sachlichen Zusammenhangs zu verzichten, sind nicht ersichtlich, weshalb von einer Praxisänderung (zu deren allgemeinen Voraussetzungen vgl. BGE 134 V 72 E. 3.3 S. 76 mit Hinweisen) abzusehen ist.</w:t>
      </w:r>
    </w:p>
    <w:p>
      <w:r>
        <w:rPr>
          <w:b/>
        </w:rPr>
        <w:t>E. 3.2</w:t>
      </w:r>
    </w:p>
    <w:p>
      <w:r>
        <w:t>Im vorliegenden Fall nahm der Versicherte am 18. Februar 2002 nach Beendigung des vertraglich vereinbarten Tai Chi-Unterrichts in der Schule G.________ um 20.50 Uhr daselbst eine neue, zusätzliche, andersartige Tätigkeit in Form von Kung Fu-Training auf. Während dieses Trainings stürzte er um ca. 21.45 Uhr auf den Kopf und die Schulter der linken Seite, was zu Behandlungsbedürftigkeit und Arbeitsunfähigkeit führte. Das Kung Fu-Training des Versicherten diente nicht dem Zweck gemäss Arbeitsvertrag mit der Schule G.________. Es handelte sich um eine rein private Beschäftigung. Die Verletzungsgefahr bei diesem persönlichen Training ging somit auch nicht von der Berufsarbeit aus und hing nicht mit ihr zusammen. Insbesondere diente das Kung Fu-Training nicht etwa der Vorbereitung auf weitere Lektionen/Unterrichtseinheiten von Tai Chi in der Schule G.________, sondern erfolgte mit Blick auf eine private Veranstaltung. Unter diesen Umständen ist der sachliche Zusammenhang zwischen dem Aufenthalt des Versicherten während des Kung Fu-Trainings im Unterrichtsraum der Schule G.________ und seiner dortigen Arbeitstätigkeit als Tai Chi-Lehrer zu verneinen. Demnach ist der während des Kung Fu-Trainings am 18. Februar 2002 erlittene Unfall als Nichtberufsunfall zu qualifizieren, weshalb die Zürich für dessen Folgen leistungspflichtig ist (vgl. E. 2 hievor).</w:t>
      </w:r>
    </w:p>
    <w:p>
      <w:r>
        <w:rPr>
          <w:b/>
        </w:rPr>
        <w:t>E. 4</w:t>
      </w:r>
    </w:p>
    <w:p>
      <w:r>
        <w:t>Die unterliegende, nicht unter den Ausnahmetatbestand von Art. 66 Abs. 4 BGG fallende Zürich hat die Gerichtskosten zu tragen ( Art. 66 Abs. 1 BGG ; BGE 133 V 642 ). Als Organisation mit öffentlich-rechtlichen Aufgaben hat die in ihrem amtlichen Wirkungskreis obsiegende AXA Winterthur keinen Anspruch auf Parteientschädigung ( Art. 68 Abs. 3 BGG ; SVR 2009 UV Nr. 11 S. 45 E. 11 [Urteil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